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80" w:lineRule="exact"/>
        <w:rPr>
          <w:rFonts w:ascii="Times New Roman" w:hAnsi="Times New Roman" w:eastAsia="仿宋_GB2312" w:cs="Times New Roman"/>
          <w:sz w:val="32"/>
          <w:szCs w:val="32"/>
        </w:rPr>
      </w:pPr>
    </w:p>
    <w:p>
      <w:pPr>
        <w:pStyle w:val="2"/>
        <w:ind w:firstLine="640"/>
        <w:rPr>
          <w:rFonts w:eastAsia="仿宋_GB2312"/>
          <w:sz w:val="32"/>
          <w:szCs w:val="32"/>
        </w:rPr>
      </w:pPr>
    </w:p>
    <w:p>
      <w:pPr>
        <w:pStyle w:val="2"/>
        <w:ind w:firstLine="640"/>
        <w:rPr>
          <w:rFonts w:eastAsia="仿宋_GB2312"/>
          <w:sz w:val="32"/>
          <w:szCs w:val="32"/>
        </w:rPr>
      </w:pPr>
    </w:p>
    <w:p>
      <w:pPr>
        <w:pStyle w:val="2"/>
        <w:ind w:firstLine="640"/>
        <w:rPr>
          <w:rFonts w:eastAsia="仿宋_GB2312"/>
          <w:sz w:val="32"/>
          <w:szCs w:val="32"/>
        </w:rPr>
      </w:pPr>
    </w:p>
    <w:p>
      <w:pPr>
        <w:adjustRightInd w:val="0"/>
        <w:snapToGrid w:val="0"/>
        <w:spacing w:line="580" w:lineRule="exact"/>
        <w:jc w:val="center"/>
        <w:rPr>
          <w:rFonts w:ascii="宋体" w:hAnsi="宋体" w:eastAsia="宋体" w:cs="Times New Roman"/>
          <w:b/>
          <w:sz w:val="52"/>
          <w:szCs w:val="44"/>
        </w:rPr>
      </w:pPr>
      <w:r>
        <w:rPr>
          <w:rFonts w:hint="eastAsia" w:ascii="宋体" w:hAnsi="宋体" w:eastAsia="宋体" w:cs="Times New Roman"/>
          <w:b/>
          <w:sz w:val="52"/>
          <w:szCs w:val="44"/>
        </w:rPr>
        <w:t>陕西省电动汽车充电基础设施</w:t>
      </w:r>
    </w:p>
    <w:p>
      <w:pPr>
        <w:adjustRightInd w:val="0"/>
        <w:snapToGrid w:val="0"/>
        <w:spacing w:before="100" w:beforeAutospacing="1" w:line="580" w:lineRule="exact"/>
        <w:jc w:val="center"/>
        <w:rPr>
          <w:rFonts w:ascii="宋体" w:hAnsi="宋体" w:eastAsia="宋体" w:cs="Times New Roman"/>
          <w:b/>
          <w:sz w:val="52"/>
          <w:szCs w:val="44"/>
        </w:rPr>
      </w:pPr>
      <w:r>
        <w:rPr>
          <w:rFonts w:ascii="宋体" w:hAnsi="宋体" w:eastAsia="宋体" w:cs="Times New Roman"/>
          <w:b/>
          <w:sz w:val="52"/>
          <w:szCs w:val="44"/>
        </w:rPr>
        <w:t>“</w:t>
      </w:r>
      <w:r>
        <w:rPr>
          <w:rFonts w:hint="eastAsia" w:ascii="宋体" w:hAnsi="宋体" w:eastAsia="宋体" w:cs="Times New Roman"/>
          <w:b/>
          <w:sz w:val="52"/>
          <w:szCs w:val="44"/>
        </w:rPr>
        <w:t>十四五</w:t>
      </w:r>
      <w:r>
        <w:rPr>
          <w:rFonts w:ascii="宋体" w:hAnsi="宋体" w:eastAsia="宋体" w:cs="Times New Roman"/>
          <w:b/>
          <w:sz w:val="52"/>
          <w:szCs w:val="44"/>
        </w:rPr>
        <w:t>”</w:t>
      </w:r>
      <w:r>
        <w:rPr>
          <w:rFonts w:hint="eastAsia" w:ascii="宋体" w:hAnsi="宋体" w:eastAsia="宋体" w:cs="Times New Roman"/>
          <w:b/>
          <w:sz w:val="52"/>
          <w:szCs w:val="44"/>
        </w:rPr>
        <w:t>发展规划</w:t>
      </w:r>
    </w:p>
    <w:p>
      <w:pPr>
        <w:pStyle w:val="2"/>
        <w:spacing w:line="580" w:lineRule="exact"/>
        <w:ind w:firstLine="640"/>
        <w:rPr>
          <w:rFonts w:eastAsia="仿宋_GB2312"/>
          <w:sz w:val="32"/>
          <w:szCs w:val="32"/>
        </w:rPr>
      </w:pPr>
    </w:p>
    <w:p>
      <w:pPr>
        <w:pStyle w:val="2"/>
        <w:spacing w:line="580" w:lineRule="exact"/>
        <w:ind w:firstLine="640"/>
        <w:rPr>
          <w:rFonts w:eastAsia="仿宋_GB2312"/>
          <w:sz w:val="32"/>
          <w:szCs w:val="32"/>
        </w:rPr>
      </w:pPr>
    </w:p>
    <w:p>
      <w:pPr>
        <w:pStyle w:val="2"/>
        <w:spacing w:line="580" w:lineRule="exact"/>
        <w:ind w:firstLine="640"/>
        <w:rPr>
          <w:rFonts w:eastAsia="仿宋_GB2312"/>
          <w:sz w:val="32"/>
          <w:szCs w:val="32"/>
        </w:rPr>
      </w:pPr>
    </w:p>
    <w:p>
      <w:pPr>
        <w:pStyle w:val="2"/>
        <w:spacing w:line="580" w:lineRule="exact"/>
        <w:ind w:firstLine="640"/>
        <w:rPr>
          <w:rFonts w:eastAsia="仿宋_GB2312"/>
          <w:sz w:val="32"/>
          <w:szCs w:val="32"/>
        </w:rPr>
      </w:pPr>
    </w:p>
    <w:p>
      <w:pPr>
        <w:adjustRightInd w:val="0"/>
        <w:snapToGrid w:val="0"/>
        <w:spacing w:line="580" w:lineRule="exact"/>
        <w:rPr>
          <w:rFonts w:ascii="Times New Roman" w:hAnsi="Times New Roman" w:eastAsia="仿宋_GB2312" w:cs="Times New Roman"/>
          <w:sz w:val="32"/>
          <w:szCs w:val="32"/>
        </w:rPr>
      </w:pPr>
    </w:p>
    <w:p>
      <w:pPr>
        <w:pStyle w:val="2"/>
      </w:pPr>
    </w:p>
    <w:p>
      <w:pPr>
        <w:pStyle w:val="2"/>
      </w:pPr>
    </w:p>
    <w:p>
      <w:pPr>
        <w:pStyle w:val="2"/>
      </w:pPr>
    </w:p>
    <w:p>
      <w:pPr>
        <w:pStyle w:val="2"/>
      </w:pPr>
    </w:p>
    <w:p>
      <w:pPr>
        <w:pStyle w:val="2"/>
      </w:pPr>
    </w:p>
    <w:p>
      <w:pPr>
        <w:adjustRightInd w:val="0"/>
        <w:snapToGrid w:val="0"/>
        <w:spacing w:line="580" w:lineRule="exact"/>
        <w:jc w:val="center"/>
        <w:rPr>
          <w:rFonts w:ascii="楷体" w:hAnsi="楷体" w:eastAsia="楷体" w:cs="Times New Roman"/>
          <w:sz w:val="32"/>
          <w:szCs w:val="32"/>
        </w:rPr>
      </w:pPr>
    </w:p>
    <w:p>
      <w:pPr>
        <w:pStyle w:val="2"/>
      </w:pPr>
    </w:p>
    <w:p>
      <w:pPr>
        <w:pStyle w:val="2"/>
      </w:pPr>
    </w:p>
    <w:p>
      <w:pPr>
        <w:pStyle w:val="2"/>
      </w:pPr>
    </w:p>
    <w:p>
      <w:pPr>
        <w:pStyle w:val="2"/>
      </w:pPr>
    </w:p>
    <w:p>
      <w:pPr>
        <w:adjustRightInd w:val="0"/>
        <w:snapToGrid w:val="0"/>
        <w:spacing w:line="580" w:lineRule="exact"/>
        <w:rPr>
          <w:rFonts w:ascii="Times New Roman" w:hAnsi="Times New Roman" w:eastAsia="仿宋_GB2312" w:cs="Times New Roman"/>
          <w:sz w:val="32"/>
          <w:szCs w:val="32"/>
        </w:rPr>
        <w:sectPr>
          <w:footerReference r:id="rId4" w:type="default"/>
          <w:pgSz w:w="11906" w:h="16838"/>
          <w:pgMar w:top="1440" w:right="1800" w:bottom="1440" w:left="1800" w:header="851" w:footer="992" w:gutter="0"/>
          <w:pgNumType w:fmt="numberInDash" w:start="1"/>
          <w:cols w:space="425" w:num="1"/>
          <w:docGrid w:type="lines" w:linePitch="312" w:charSpace="0"/>
        </w:sectPr>
      </w:pPr>
    </w:p>
    <w:p>
      <w:pPr>
        <w:pStyle w:val="2"/>
        <w:spacing w:line="580" w:lineRule="exact"/>
        <w:ind w:left="0" w:leftChars="0" w:firstLine="0" w:firstLineChars="0"/>
      </w:pPr>
    </w:p>
    <w:sdt>
      <w:sdtPr>
        <w:rPr>
          <w:b/>
          <w:bCs/>
          <w:sz w:val="32"/>
          <w:szCs w:val="36"/>
          <w:lang w:val="zh-CN"/>
        </w:rPr>
        <w:id w:val="-192921573"/>
        <w:docPartObj>
          <w:docPartGallery w:val="Table of Contents"/>
          <w:docPartUnique/>
        </w:docPartObj>
      </w:sdtPr>
      <w:sdtEndPr>
        <w:rPr>
          <w:b/>
          <w:bCs/>
          <w:sz w:val="24"/>
          <w:szCs w:val="22"/>
          <w:lang w:val="zh-CN"/>
        </w:rPr>
      </w:sdtEndPr>
      <w:sdtContent>
        <w:p>
          <w:pPr>
            <w:jc w:val="center"/>
            <w:rPr>
              <w:b/>
              <w:bCs/>
              <w:sz w:val="32"/>
              <w:szCs w:val="40"/>
            </w:rPr>
          </w:pPr>
          <w:r>
            <w:rPr>
              <w:rFonts w:ascii="宋体" w:hAnsi="宋体" w:eastAsia="宋体"/>
              <w:b/>
              <w:bCs/>
              <w:sz w:val="32"/>
              <w:szCs w:val="40"/>
            </w:rPr>
            <w:t>目录</w:t>
          </w:r>
        </w:p>
        <w:p>
          <w:pPr>
            <w:pStyle w:val="15"/>
            <w:tabs>
              <w:tab w:val="right" w:leader="dot" w:pos="8306"/>
            </w:tabs>
            <w:ind w:left="0"/>
            <w:rPr>
              <w:rFonts w:ascii="Times New Roman" w:hAnsi="Times New Roman"/>
            </w:rPr>
          </w:pPr>
          <w:r>
            <w:rPr>
              <w:rFonts w:ascii="Times New Roman" w:hAnsi="Times New Roman"/>
            </w:rPr>
            <w:fldChar w:fldCharType="begin"/>
          </w:r>
          <w:r>
            <w:rPr>
              <w:rFonts w:ascii="Times New Roman" w:hAnsi="Times New Roman"/>
            </w:rPr>
            <w:instrText xml:space="preserve">TOC \o "1-2" \h \u </w:instrText>
          </w:r>
          <w:r>
            <w:rPr>
              <w:rFonts w:ascii="Times New Roman" w:hAnsi="Times New Roman"/>
            </w:rPr>
            <w:fldChar w:fldCharType="separate"/>
          </w:r>
          <w:r>
            <w:fldChar w:fldCharType="begin"/>
          </w:r>
          <w:r>
            <w:instrText xml:space="preserve"> HYPERLINK \l "_Toc31217" </w:instrText>
          </w:r>
          <w:r>
            <w:fldChar w:fldCharType="separate"/>
          </w:r>
          <w:r>
            <w:rPr>
              <w:rFonts w:hint="eastAsia" w:ascii="Times New Roman" w:hAnsi="Times New Roman"/>
            </w:rPr>
            <w:t>前言</w:t>
          </w:r>
          <w:r>
            <w:rPr>
              <w:rFonts w:ascii="Times New Roman" w:hAnsi="Times New Roman"/>
            </w:rPr>
            <w:tab/>
          </w:r>
          <w:r>
            <w:rPr>
              <w:rFonts w:ascii="Times New Roman" w:hAnsi="Times New Roman"/>
            </w:rPr>
            <w:fldChar w:fldCharType="begin"/>
          </w:r>
          <w:r>
            <w:rPr>
              <w:rFonts w:ascii="Times New Roman" w:hAnsi="Times New Roman"/>
            </w:rPr>
            <w:instrText xml:space="preserve"> PAGEREF _Toc31217 \h </w:instrText>
          </w:r>
          <w:r>
            <w:rPr>
              <w:rFonts w:ascii="Times New Roman" w:hAnsi="Times New Roman"/>
            </w:rPr>
            <w:fldChar w:fldCharType="separate"/>
          </w:r>
          <w:r>
            <w:rPr>
              <w:rFonts w:ascii="Times New Roman" w:hAnsi="Times New Roman"/>
            </w:rPr>
            <w:t>1</w:t>
          </w:r>
          <w:r>
            <w:rPr>
              <w:rFonts w:ascii="Times New Roman" w:hAnsi="Times New Roman"/>
            </w:rPr>
            <w:fldChar w:fldCharType="end"/>
          </w:r>
          <w:r>
            <w:rPr>
              <w:rFonts w:ascii="Times New Roman" w:hAnsi="Times New Roman"/>
            </w:rPr>
            <w:fldChar w:fldCharType="end"/>
          </w:r>
        </w:p>
        <w:p>
          <w:pPr>
            <w:pStyle w:val="13"/>
            <w:tabs>
              <w:tab w:val="right" w:leader="dot" w:pos="8306"/>
            </w:tabs>
            <w:rPr>
              <w:rFonts w:ascii="Times New Roman" w:hAnsi="Times New Roman"/>
            </w:rPr>
          </w:pPr>
          <w:r>
            <w:fldChar w:fldCharType="begin"/>
          </w:r>
          <w:r>
            <w:instrText xml:space="preserve"> HYPERLINK \l "_Toc6884" </w:instrText>
          </w:r>
          <w:r>
            <w:fldChar w:fldCharType="separate"/>
          </w:r>
          <w:r>
            <w:rPr>
              <w:rFonts w:hint="eastAsia" w:ascii="Times New Roman" w:hAnsi="Times New Roman"/>
            </w:rPr>
            <w:t>一、电动汽车及充电设施发展现状</w:t>
          </w:r>
          <w:r>
            <w:rPr>
              <w:rFonts w:ascii="Times New Roman" w:hAnsi="Times New Roman"/>
            </w:rPr>
            <w:tab/>
          </w:r>
          <w:r>
            <w:rPr>
              <w:rFonts w:ascii="Times New Roman" w:hAnsi="Times New Roman"/>
            </w:rPr>
            <w:fldChar w:fldCharType="begin"/>
          </w:r>
          <w:r>
            <w:rPr>
              <w:rFonts w:ascii="Times New Roman" w:hAnsi="Times New Roman"/>
            </w:rPr>
            <w:instrText xml:space="preserve"> PAGEREF _Toc6884 \h </w:instrText>
          </w:r>
          <w:r>
            <w:rPr>
              <w:rFonts w:ascii="Times New Roman" w:hAnsi="Times New Roman"/>
            </w:rPr>
            <w:fldChar w:fldCharType="separate"/>
          </w:r>
          <w:r>
            <w:rPr>
              <w:rFonts w:ascii="Times New Roman" w:hAnsi="Times New Roman"/>
            </w:rPr>
            <w:t>2</w:t>
          </w:r>
          <w:r>
            <w:rPr>
              <w:rFonts w:ascii="Times New Roman" w:hAnsi="Times New Roman"/>
            </w:rPr>
            <w:fldChar w:fldCharType="end"/>
          </w:r>
          <w:r>
            <w:rPr>
              <w:rFonts w:ascii="Times New Roman" w:hAnsi="Times New Roman"/>
            </w:rPr>
            <w:fldChar w:fldCharType="end"/>
          </w:r>
        </w:p>
        <w:p>
          <w:pPr>
            <w:pStyle w:val="15"/>
            <w:tabs>
              <w:tab w:val="right" w:leader="dot" w:pos="8306"/>
            </w:tabs>
            <w:rPr>
              <w:rFonts w:ascii="Times New Roman" w:hAnsi="Times New Roman"/>
            </w:rPr>
          </w:pPr>
          <w:r>
            <w:fldChar w:fldCharType="begin"/>
          </w:r>
          <w:r>
            <w:instrText xml:space="preserve"> HYPERLINK \l "_Toc1690" </w:instrText>
          </w:r>
          <w:r>
            <w:fldChar w:fldCharType="separate"/>
          </w:r>
          <w:r>
            <w:rPr>
              <w:rFonts w:ascii="Times New Roman" w:hAnsi="Times New Roman"/>
            </w:rPr>
            <w:t>（一）</w:t>
          </w:r>
          <w:r>
            <w:rPr>
              <w:rFonts w:hint="eastAsia" w:ascii="Times New Roman" w:hAnsi="Times New Roman"/>
            </w:rPr>
            <w:t>省内经济社会发展取得的成就</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_Toc1690 \h </w:instrText>
          </w:r>
          <w:r>
            <w:rPr>
              <w:rFonts w:ascii="Times New Roman" w:hAnsi="Times New Roman"/>
            </w:rPr>
            <w:fldChar w:fldCharType="separate"/>
          </w:r>
          <w:r>
            <w:rPr>
              <w:rFonts w:ascii="Times New Roman" w:hAnsi="Times New Roman"/>
            </w:rPr>
            <w:t>2</w:t>
          </w:r>
          <w:r>
            <w:rPr>
              <w:rFonts w:ascii="Times New Roman" w:hAnsi="Times New Roman"/>
            </w:rPr>
            <w:fldChar w:fldCharType="end"/>
          </w:r>
          <w:r>
            <w:rPr>
              <w:rFonts w:ascii="Times New Roman" w:hAnsi="Times New Roman"/>
            </w:rPr>
            <w:fldChar w:fldCharType="end"/>
          </w:r>
        </w:p>
        <w:p>
          <w:pPr>
            <w:pStyle w:val="15"/>
            <w:tabs>
              <w:tab w:val="right" w:leader="dot" w:pos="8306"/>
            </w:tabs>
            <w:rPr>
              <w:rFonts w:ascii="Times New Roman" w:hAnsi="Times New Roman"/>
            </w:rPr>
          </w:pPr>
          <w:r>
            <w:fldChar w:fldCharType="begin"/>
          </w:r>
          <w:r>
            <w:instrText xml:space="preserve"> HYPERLINK \l "_Toc30840" </w:instrText>
          </w:r>
          <w:r>
            <w:fldChar w:fldCharType="separate"/>
          </w:r>
          <w:r>
            <w:rPr>
              <w:rFonts w:ascii="Times New Roman" w:hAnsi="Times New Roman"/>
            </w:rPr>
            <w:t>（</w:t>
          </w:r>
          <w:r>
            <w:rPr>
              <w:rFonts w:hint="eastAsia" w:ascii="Times New Roman" w:hAnsi="Times New Roman"/>
            </w:rPr>
            <w:t>二</w:t>
          </w:r>
          <w:r>
            <w:rPr>
              <w:rFonts w:ascii="Times New Roman" w:hAnsi="Times New Roman"/>
            </w:rPr>
            <w:t>）电动汽车推广应用现状</w:t>
          </w:r>
          <w:r>
            <w:rPr>
              <w:rFonts w:ascii="Times New Roman" w:hAnsi="Times New Roman"/>
            </w:rPr>
            <w:tab/>
          </w:r>
          <w:r>
            <w:rPr>
              <w:rFonts w:ascii="Times New Roman" w:hAnsi="Times New Roman"/>
            </w:rPr>
            <w:fldChar w:fldCharType="begin"/>
          </w:r>
          <w:r>
            <w:rPr>
              <w:rFonts w:ascii="Times New Roman" w:hAnsi="Times New Roman"/>
            </w:rPr>
            <w:instrText xml:space="preserve"> PAGEREF _Toc30840 \h </w:instrText>
          </w:r>
          <w:r>
            <w:rPr>
              <w:rFonts w:ascii="Times New Roman" w:hAnsi="Times New Roman"/>
            </w:rPr>
            <w:fldChar w:fldCharType="separate"/>
          </w:r>
          <w:r>
            <w:rPr>
              <w:rFonts w:ascii="Times New Roman" w:hAnsi="Times New Roman"/>
            </w:rPr>
            <w:t>2</w:t>
          </w:r>
          <w:r>
            <w:rPr>
              <w:rFonts w:ascii="Times New Roman" w:hAnsi="Times New Roman"/>
            </w:rPr>
            <w:fldChar w:fldCharType="end"/>
          </w:r>
          <w:r>
            <w:rPr>
              <w:rFonts w:ascii="Times New Roman" w:hAnsi="Times New Roman"/>
            </w:rPr>
            <w:fldChar w:fldCharType="end"/>
          </w:r>
        </w:p>
        <w:p>
          <w:pPr>
            <w:pStyle w:val="15"/>
            <w:tabs>
              <w:tab w:val="right" w:leader="dot" w:pos="8306"/>
            </w:tabs>
            <w:rPr>
              <w:rFonts w:ascii="Times New Roman" w:hAnsi="Times New Roman"/>
            </w:rPr>
          </w:pPr>
          <w:r>
            <w:fldChar w:fldCharType="begin"/>
          </w:r>
          <w:r>
            <w:instrText xml:space="preserve"> HYPERLINK \l "_Toc25040" </w:instrText>
          </w:r>
          <w:r>
            <w:fldChar w:fldCharType="separate"/>
          </w:r>
          <w:r>
            <w:rPr>
              <w:rFonts w:ascii="Times New Roman" w:hAnsi="Times New Roman"/>
            </w:rPr>
            <w:t>（</w:t>
          </w:r>
          <w:r>
            <w:rPr>
              <w:rFonts w:hint="eastAsia" w:ascii="Times New Roman" w:hAnsi="Times New Roman"/>
            </w:rPr>
            <w:t>三</w:t>
          </w:r>
          <w:r>
            <w:rPr>
              <w:rFonts w:ascii="Times New Roman" w:hAnsi="Times New Roman"/>
            </w:rPr>
            <w:t>）充电设施建设现状</w:t>
          </w:r>
          <w:r>
            <w:rPr>
              <w:rFonts w:ascii="Times New Roman" w:hAnsi="Times New Roman"/>
            </w:rPr>
            <w:tab/>
          </w:r>
          <w:r>
            <w:rPr>
              <w:rFonts w:ascii="Times New Roman" w:hAnsi="Times New Roman"/>
            </w:rPr>
            <w:fldChar w:fldCharType="begin"/>
          </w:r>
          <w:r>
            <w:rPr>
              <w:rFonts w:ascii="Times New Roman" w:hAnsi="Times New Roman"/>
            </w:rPr>
            <w:instrText xml:space="preserve"> PAGEREF _Toc25040 \h </w:instrText>
          </w:r>
          <w:r>
            <w:rPr>
              <w:rFonts w:ascii="Times New Roman" w:hAnsi="Times New Roman"/>
            </w:rPr>
            <w:fldChar w:fldCharType="separate"/>
          </w:r>
          <w:r>
            <w:rPr>
              <w:rFonts w:ascii="Times New Roman" w:hAnsi="Times New Roman"/>
            </w:rPr>
            <w:t>3</w:t>
          </w:r>
          <w:r>
            <w:rPr>
              <w:rFonts w:ascii="Times New Roman" w:hAnsi="Times New Roman"/>
            </w:rPr>
            <w:fldChar w:fldCharType="end"/>
          </w:r>
          <w:r>
            <w:rPr>
              <w:rFonts w:ascii="Times New Roman" w:hAnsi="Times New Roman"/>
            </w:rPr>
            <w:fldChar w:fldCharType="end"/>
          </w:r>
        </w:p>
        <w:p>
          <w:pPr>
            <w:pStyle w:val="15"/>
            <w:tabs>
              <w:tab w:val="right" w:leader="dot" w:pos="8306"/>
            </w:tabs>
            <w:rPr>
              <w:rFonts w:ascii="Times New Roman" w:hAnsi="Times New Roman"/>
            </w:rPr>
          </w:pPr>
          <w:r>
            <w:fldChar w:fldCharType="begin"/>
          </w:r>
          <w:r>
            <w:instrText xml:space="preserve"> HYPERLINK \l "_Toc3869" </w:instrText>
          </w:r>
          <w:r>
            <w:fldChar w:fldCharType="separate"/>
          </w:r>
          <w:r>
            <w:rPr>
              <w:rFonts w:ascii="Times New Roman" w:hAnsi="Times New Roman"/>
            </w:rPr>
            <w:t>（</w:t>
          </w:r>
          <w:r>
            <w:rPr>
              <w:rFonts w:hint="eastAsia" w:ascii="Times New Roman" w:hAnsi="Times New Roman"/>
            </w:rPr>
            <w:t>四</w:t>
          </w:r>
          <w:r>
            <w:rPr>
              <w:rFonts w:ascii="Times New Roman" w:hAnsi="Times New Roman"/>
            </w:rPr>
            <w:t>）充电设施</w:t>
          </w:r>
          <w:r>
            <w:rPr>
              <w:rFonts w:hint="eastAsia" w:ascii="Times New Roman" w:hAnsi="Times New Roman"/>
            </w:rPr>
            <w:t>技术发展情况</w:t>
          </w:r>
          <w:r>
            <w:rPr>
              <w:rFonts w:ascii="Times New Roman" w:hAnsi="Times New Roman"/>
            </w:rPr>
            <w:tab/>
          </w:r>
          <w:r>
            <w:rPr>
              <w:rFonts w:ascii="Times New Roman" w:hAnsi="Times New Roman"/>
            </w:rPr>
            <w:fldChar w:fldCharType="begin"/>
          </w:r>
          <w:r>
            <w:rPr>
              <w:rFonts w:ascii="Times New Roman" w:hAnsi="Times New Roman"/>
            </w:rPr>
            <w:instrText xml:space="preserve"> PAGEREF _Toc3869 \h </w:instrText>
          </w:r>
          <w:r>
            <w:rPr>
              <w:rFonts w:ascii="Times New Roman" w:hAnsi="Times New Roman"/>
            </w:rPr>
            <w:fldChar w:fldCharType="separate"/>
          </w:r>
          <w:r>
            <w:rPr>
              <w:rFonts w:ascii="Times New Roman" w:hAnsi="Times New Roman"/>
            </w:rPr>
            <w:t>6</w:t>
          </w:r>
          <w:r>
            <w:rPr>
              <w:rFonts w:ascii="Times New Roman" w:hAnsi="Times New Roman"/>
            </w:rPr>
            <w:fldChar w:fldCharType="end"/>
          </w:r>
          <w:r>
            <w:rPr>
              <w:rFonts w:ascii="Times New Roman" w:hAnsi="Times New Roman"/>
            </w:rPr>
            <w:fldChar w:fldCharType="end"/>
          </w:r>
        </w:p>
        <w:p>
          <w:pPr>
            <w:pStyle w:val="15"/>
            <w:tabs>
              <w:tab w:val="right" w:leader="dot" w:pos="8306"/>
            </w:tabs>
            <w:rPr>
              <w:rFonts w:ascii="Times New Roman" w:hAnsi="Times New Roman"/>
            </w:rPr>
          </w:pPr>
          <w:r>
            <w:fldChar w:fldCharType="begin"/>
          </w:r>
          <w:r>
            <w:instrText xml:space="preserve"> HYPERLINK \l "_Toc6311" </w:instrText>
          </w:r>
          <w:r>
            <w:fldChar w:fldCharType="separate"/>
          </w:r>
          <w:r>
            <w:rPr>
              <w:rFonts w:ascii="Times New Roman" w:hAnsi="Times New Roman"/>
            </w:rPr>
            <w:t>（</w:t>
          </w:r>
          <w:r>
            <w:rPr>
              <w:rFonts w:hint="eastAsia" w:ascii="Times New Roman" w:hAnsi="Times New Roman"/>
            </w:rPr>
            <w:t>五</w:t>
          </w:r>
          <w:r>
            <w:rPr>
              <w:rFonts w:ascii="Times New Roman" w:hAnsi="Times New Roman"/>
            </w:rPr>
            <w:t>）</w:t>
          </w:r>
          <w:r>
            <w:rPr>
              <w:rFonts w:hint="eastAsia" w:ascii="Times New Roman" w:hAnsi="Times New Roman"/>
            </w:rPr>
            <w:t>电动汽车及充电设施发展支持文件</w:t>
          </w:r>
          <w:r>
            <w:rPr>
              <w:rFonts w:ascii="Times New Roman" w:hAnsi="Times New Roman"/>
            </w:rPr>
            <w:tab/>
          </w:r>
          <w:r>
            <w:rPr>
              <w:rFonts w:ascii="Times New Roman" w:hAnsi="Times New Roman"/>
            </w:rPr>
            <w:fldChar w:fldCharType="begin"/>
          </w:r>
          <w:r>
            <w:rPr>
              <w:rFonts w:ascii="Times New Roman" w:hAnsi="Times New Roman"/>
            </w:rPr>
            <w:instrText xml:space="preserve"> PAGEREF _Toc6311 \h </w:instrText>
          </w:r>
          <w:r>
            <w:rPr>
              <w:rFonts w:ascii="Times New Roman" w:hAnsi="Times New Roman"/>
            </w:rPr>
            <w:fldChar w:fldCharType="separate"/>
          </w:r>
          <w:r>
            <w:rPr>
              <w:rFonts w:ascii="Times New Roman" w:hAnsi="Times New Roman"/>
            </w:rPr>
            <w:t>7</w:t>
          </w:r>
          <w:r>
            <w:rPr>
              <w:rFonts w:ascii="Times New Roman" w:hAnsi="Times New Roman"/>
            </w:rPr>
            <w:fldChar w:fldCharType="end"/>
          </w:r>
          <w:r>
            <w:rPr>
              <w:rFonts w:ascii="Times New Roman" w:hAnsi="Times New Roman"/>
            </w:rPr>
            <w:fldChar w:fldCharType="end"/>
          </w:r>
        </w:p>
        <w:p>
          <w:pPr>
            <w:pStyle w:val="13"/>
            <w:tabs>
              <w:tab w:val="right" w:leader="dot" w:pos="8306"/>
            </w:tabs>
            <w:rPr>
              <w:rFonts w:ascii="Times New Roman" w:hAnsi="Times New Roman"/>
            </w:rPr>
          </w:pPr>
          <w:r>
            <w:fldChar w:fldCharType="begin"/>
          </w:r>
          <w:r>
            <w:instrText xml:space="preserve"> HYPERLINK \l "_Toc8036" </w:instrText>
          </w:r>
          <w:r>
            <w:fldChar w:fldCharType="separate"/>
          </w:r>
          <w:r>
            <w:rPr>
              <w:rFonts w:hint="eastAsia" w:ascii="Times New Roman" w:hAnsi="Times New Roman"/>
            </w:rPr>
            <w:t>二、面临的形势及存在的问题</w:t>
          </w:r>
          <w:r>
            <w:rPr>
              <w:rFonts w:ascii="Times New Roman" w:hAnsi="Times New Roman"/>
            </w:rPr>
            <w:tab/>
          </w:r>
          <w:r>
            <w:rPr>
              <w:rFonts w:ascii="Times New Roman" w:hAnsi="Times New Roman"/>
            </w:rPr>
            <w:fldChar w:fldCharType="begin"/>
          </w:r>
          <w:r>
            <w:rPr>
              <w:rFonts w:ascii="Times New Roman" w:hAnsi="Times New Roman"/>
            </w:rPr>
            <w:instrText xml:space="preserve"> PAGEREF _Toc8036 \h </w:instrText>
          </w:r>
          <w:r>
            <w:rPr>
              <w:rFonts w:ascii="Times New Roman" w:hAnsi="Times New Roman"/>
            </w:rPr>
            <w:fldChar w:fldCharType="separate"/>
          </w:r>
          <w:r>
            <w:rPr>
              <w:rFonts w:ascii="Times New Roman" w:hAnsi="Times New Roman"/>
            </w:rPr>
            <w:t>11</w:t>
          </w:r>
          <w:r>
            <w:rPr>
              <w:rFonts w:ascii="Times New Roman" w:hAnsi="Times New Roman"/>
            </w:rPr>
            <w:fldChar w:fldCharType="end"/>
          </w:r>
          <w:r>
            <w:rPr>
              <w:rFonts w:ascii="Times New Roman" w:hAnsi="Times New Roman"/>
            </w:rPr>
            <w:fldChar w:fldCharType="end"/>
          </w:r>
        </w:p>
        <w:p>
          <w:pPr>
            <w:pStyle w:val="15"/>
            <w:tabs>
              <w:tab w:val="right" w:leader="dot" w:pos="8306"/>
            </w:tabs>
            <w:rPr>
              <w:rFonts w:ascii="Times New Roman" w:hAnsi="Times New Roman"/>
            </w:rPr>
          </w:pPr>
          <w:r>
            <w:fldChar w:fldCharType="begin"/>
          </w:r>
          <w:r>
            <w:instrText xml:space="preserve"> HYPERLINK \l "_Toc23058" </w:instrText>
          </w:r>
          <w:r>
            <w:fldChar w:fldCharType="separate"/>
          </w:r>
          <w:r>
            <w:rPr>
              <w:rFonts w:ascii="Times New Roman" w:hAnsi="Times New Roman"/>
            </w:rPr>
            <w:t>（</w:t>
          </w:r>
          <w:r>
            <w:rPr>
              <w:rFonts w:hint="eastAsia" w:ascii="Times New Roman" w:hAnsi="Times New Roman"/>
            </w:rPr>
            <w:t>一</w:t>
          </w:r>
          <w:r>
            <w:rPr>
              <w:rFonts w:ascii="Times New Roman" w:hAnsi="Times New Roman"/>
            </w:rPr>
            <w:t>）</w:t>
          </w:r>
          <w:r>
            <w:rPr>
              <w:rFonts w:hint="eastAsia" w:ascii="Times New Roman" w:hAnsi="Times New Roman"/>
            </w:rPr>
            <w:t>面临的形势</w:t>
          </w:r>
          <w:r>
            <w:rPr>
              <w:rFonts w:ascii="Times New Roman" w:hAnsi="Times New Roman"/>
            </w:rPr>
            <w:tab/>
          </w:r>
          <w:r>
            <w:rPr>
              <w:rFonts w:ascii="Times New Roman" w:hAnsi="Times New Roman"/>
            </w:rPr>
            <w:fldChar w:fldCharType="begin"/>
          </w:r>
          <w:r>
            <w:rPr>
              <w:rFonts w:ascii="Times New Roman" w:hAnsi="Times New Roman"/>
            </w:rPr>
            <w:instrText xml:space="preserve"> PAGEREF _Toc23058 \h </w:instrText>
          </w:r>
          <w:r>
            <w:rPr>
              <w:rFonts w:ascii="Times New Roman" w:hAnsi="Times New Roman"/>
            </w:rPr>
            <w:fldChar w:fldCharType="separate"/>
          </w:r>
          <w:r>
            <w:rPr>
              <w:rFonts w:ascii="Times New Roman" w:hAnsi="Times New Roman"/>
            </w:rPr>
            <w:t>11</w:t>
          </w:r>
          <w:r>
            <w:rPr>
              <w:rFonts w:ascii="Times New Roman" w:hAnsi="Times New Roman"/>
            </w:rPr>
            <w:fldChar w:fldCharType="end"/>
          </w:r>
          <w:r>
            <w:rPr>
              <w:rFonts w:ascii="Times New Roman" w:hAnsi="Times New Roman"/>
            </w:rPr>
            <w:fldChar w:fldCharType="end"/>
          </w:r>
        </w:p>
        <w:p>
          <w:pPr>
            <w:pStyle w:val="15"/>
            <w:tabs>
              <w:tab w:val="right" w:leader="dot" w:pos="8306"/>
            </w:tabs>
            <w:rPr>
              <w:rFonts w:ascii="Times New Roman" w:hAnsi="Times New Roman"/>
            </w:rPr>
          </w:pPr>
          <w:r>
            <w:fldChar w:fldCharType="begin"/>
          </w:r>
          <w:r>
            <w:instrText xml:space="preserve"> HYPERLINK \l "_Toc21132" </w:instrText>
          </w:r>
          <w:r>
            <w:fldChar w:fldCharType="separate"/>
          </w:r>
          <w:r>
            <w:rPr>
              <w:rFonts w:ascii="Times New Roman" w:hAnsi="Times New Roman"/>
            </w:rPr>
            <w:t>（</w:t>
          </w:r>
          <w:r>
            <w:rPr>
              <w:rFonts w:hint="eastAsia" w:ascii="Times New Roman" w:hAnsi="Times New Roman"/>
            </w:rPr>
            <w:t>二</w:t>
          </w:r>
          <w:r>
            <w:rPr>
              <w:rFonts w:ascii="Times New Roman" w:hAnsi="Times New Roman"/>
            </w:rPr>
            <w:t>）</w:t>
          </w:r>
          <w:r>
            <w:rPr>
              <w:rFonts w:hint="eastAsia" w:ascii="Times New Roman" w:hAnsi="Times New Roman"/>
            </w:rPr>
            <w:t>存在的问题</w:t>
          </w:r>
          <w:r>
            <w:rPr>
              <w:rFonts w:ascii="Times New Roman" w:hAnsi="Times New Roman"/>
            </w:rPr>
            <w:tab/>
          </w:r>
          <w:r>
            <w:rPr>
              <w:rFonts w:ascii="Times New Roman" w:hAnsi="Times New Roman"/>
            </w:rPr>
            <w:fldChar w:fldCharType="begin"/>
          </w:r>
          <w:r>
            <w:rPr>
              <w:rFonts w:ascii="Times New Roman" w:hAnsi="Times New Roman"/>
            </w:rPr>
            <w:instrText xml:space="preserve"> PAGEREF _Toc21132 \h </w:instrText>
          </w:r>
          <w:r>
            <w:rPr>
              <w:rFonts w:ascii="Times New Roman" w:hAnsi="Times New Roman"/>
            </w:rPr>
            <w:fldChar w:fldCharType="separate"/>
          </w:r>
          <w:r>
            <w:rPr>
              <w:rFonts w:ascii="Times New Roman" w:hAnsi="Times New Roman"/>
            </w:rPr>
            <w:t>13</w:t>
          </w:r>
          <w:r>
            <w:rPr>
              <w:rFonts w:ascii="Times New Roman" w:hAnsi="Times New Roman"/>
            </w:rPr>
            <w:fldChar w:fldCharType="end"/>
          </w:r>
          <w:r>
            <w:rPr>
              <w:rFonts w:ascii="Times New Roman" w:hAnsi="Times New Roman"/>
            </w:rPr>
            <w:fldChar w:fldCharType="end"/>
          </w:r>
        </w:p>
        <w:p>
          <w:pPr>
            <w:pStyle w:val="13"/>
            <w:tabs>
              <w:tab w:val="right" w:leader="dot" w:pos="8306"/>
            </w:tabs>
            <w:rPr>
              <w:rFonts w:ascii="Times New Roman" w:hAnsi="Times New Roman"/>
            </w:rPr>
          </w:pPr>
          <w:r>
            <w:fldChar w:fldCharType="begin"/>
          </w:r>
          <w:r>
            <w:instrText xml:space="preserve"> HYPERLINK \l "_Toc28669" </w:instrText>
          </w:r>
          <w:r>
            <w:fldChar w:fldCharType="separate"/>
          </w:r>
          <w:r>
            <w:rPr>
              <w:rFonts w:hint="eastAsia" w:ascii="Times New Roman" w:hAnsi="Times New Roman"/>
            </w:rPr>
            <w:t>三、充电设施发展需求预测</w:t>
          </w:r>
          <w:r>
            <w:rPr>
              <w:rFonts w:ascii="Times New Roman" w:hAnsi="Times New Roman"/>
            </w:rPr>
            <w:tab/>
          </w:r>
          <w:r>
            <w:rPr>
              <w:rFonts w:ascii="Times New Roman" w:hAnsi="Times New Roman"/>
            </w:rPr>
            <w:fldChar w:fldCharType="begin"/>
          </w:r>
          <w:r>
            <w:rPr>
              <w:rFonts w:ascii="Times New Roman" w:hAnsi="Times New Roman"/>
            </w:rPr>
            <w:instrText xml:space="preserve"> PAGEREF _Toc28669 \h </w:instrText>
          </w:r>
          <w:r>
            <w:rPr>
              <w:rFonts w:ascii="Times New Roman" w:hAnsi="Times New Roman"/>
            </w:rPr>
            <w:fldChar w:fldCharType="separate"/>
          </w:r>
          <w:r>
            <w:rPr>
              <w:rFonts w:ascii="Times New Roman" w:hAnsi="Times New Roman"/>
            </w:rPr>
            <w:t>16</w:t>
          </w:r>
          <w:r>
            <w:rPr>
              <w:rFonts w:ascii="Times New Roman" w:hAnsi="Times New Roman"/>
            </w:rPr>
            <w:fldChar w:fldCharType="end"/>
          </w:r>
          <w:r>
            <w:rPr>
              <w:rFonts w:ascii="Times New Roman" w:hAnsi="Times New Roman"/>
            </w:rPr>
            <w:fldChar w:fldCharType="end"/>
          </w:r>
        </w:p>
        <w:p>
          <w:pPr>
            <w:pStyle w:val="15"/>
            <w:tabs>
              <w:tab w:val="right" w:leader="dot" w:pos="8306"/>
            </w:tabs>
            <w:rPr>
              <w:rFonts w:ascii="Times New Roman" w:hAnsi="Times New Roman"/>
            </w:rPr>
          </w:pPr>
          <w:r>
            <w:fldChar w:fldCharType="begin"/>
          </w:r>
          <w:r>
            <w:instrText xml:space="preserve"> HYPERLINK \l "_Toc16828" </w:instrText>
          </w:r>
          <w:r>
            <w:fldChar w:fldCharType="separate"/>
          </w:r>
          <w:r>
            <w:rPr>
              <w:rFonts w:ascii="Times New Roman" w:hAnsi="Times New Roman"/>
            </w:rPr>
            <w:t>（一）</w:t>
          </w:r>
          <w:r>
            <w:rPr>
              <w:rFonts w:hint="eastAsia" w:ascii="Times New Roman" w:hAnsi="Times New Roman"/>
            </w:rPr>
            <w:t>陕西省电动汽车推广应用预测</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_Toc16828 \h </w:instrText>
          </w:r>
          <w:r>
            <w:rPr>
              <w:rFonts w:ascii="Times New Roman" w:hAnsi="Times New Roman"/>
            </w:rPr>
            <w:fldChar w:fldCharType="separate"/>
          </w:r>
          <w:r>
            <w:rPr>
              <w:rFonts w:ascii="Times New Roman" w:hAnsi="Times New Roman"/>
            </w:rPr>
            <w:t>16</w:t>
          </w:r>
          <w:r>
            <w:rPr>
              <w:rFonts w:ascii="Times New Roman" w:hAnsi="Times New Roman"/>
            </w:rPr>
            <w:fldChar w:fldCharType="end"/>
          </w:r>
          <w:r>
            <w:rPr>
              <w:rFonts w:ascii="Times New Roman" w:hAnsi="Times New Roman"/>
            </w:rPr>
            <w:fldChar w:fldCharType="end"/>
          </w:r>
        </w:p>
        <w:p>
          <w:pPr>
            <w:pStyle w:val="15"/>
            <w:tabs>
              <w:tab w:val="right" w:leader="dot" w:pos="8306"/>
            </w:tabs>
            <w:rPr>
              <w:rFonts w:ascii="Times New Roman" w:hAnsi="Times New Roman"/>
            </w:rPr>
          </w:pPr>
          <w:r>
            <w:fldChar w:fldCharType="begin"/>
          </w:r>
          <w:r>
            <w:instrText xml:space="preserve"> HYPERLINK \l "_Toc21054" </w:instrText>
          </w:r>
          <w:r>
            <w:fldChar w:fldCharType="separate"/>
          </w:r>
          <w:r>
            <w:rPr>
              <w:rFonts w:ascii="Times New Roman" w:hAnsi="Times New Roman"/>
            </w:rPr>
            <w:t>（二）充电设施配置原则</w:t>
          </w:r>
          <w:r>
            <w:rPr>
              <w:rFonts w:ascii="Times New Roman" w:hAnsi="Times New Roman"/>
            </w:rPr>
            <w:tab/>
          </w:r>
          <w:r>
            <w:rPr>
              <w:rFonts w:ascii="Times New Roman" w:hAnsi="Times New Roman"/>
            </w:rPr>
            <w:fldChar w:fldCharType="begin"/>
          </w:r>
          <w:r>
            <w:rPr>
              <w:rFonts w:ascii="Times New Roman" w:hAnsi="Times New Roman"/>
            </w:rPr>
            <w:instrText xml:space="preserve"> PAGEREF _Toc21054 \h </w:instrText>
          </w:r>
          <w:r>
            <w:rPr>
              <w:rFonts w:ascii="Times New Roman" w:hAnsi="Times New Roman"/>
            </w:rPr>
            <w:fldChar w:fldCharType="separate"/>
          </w:r>
          <w:r>
            <w:rPr>
              <w:rFonts w:ascii="Times New Roman" w:hAnsi="Times New Roman"/>
            </w:rPr>
            <w:t>31</w:t>
          </w:r>
          <w:r>
            <w:rPr>
              <w:rFonts w:ascii="Times New Roman" w:hAnsi="Times New Roman"/>
            </w:rPr>
            <w:fldChar w:fldCharType="end"/>
          </w:r>
          <w:r>
            <w:rPr>
              <w:rFonts w:ascii="Times New Roman" w:hAnsi="Times New Roman"/>
            </w:rPr>
            <w:fldChar w:fldCharType="end"/>
          </w:r>
        </w:p>
        <w:p>
          <w:pPr>
            <w:pStyle w:val="15"/>
            <w:tabs>
              <w:tab w:val="right" w:leader="dot" w:pos="8306"/>
            </w:tabs>
            <w:rPr>
              <w:rFonts w:ascii="Times New Roman" w:hAnsi="Times New Roman"/>
            </w:rPr>
          </w:pPr>
          <w:r>
            <w:fldChar w:fldCharType="begin"/>
          </w:r>
          <w:r>
            <w:instrText xml:space="preserve"> HYPERLINK \l "_Toc17321" </w:instrText>
          </w:r>
          <w:r>
            <w:fldChar w:fldCharType="separate"/>
          </w:r>
          <w:r>
            <w:rPr>
              <w:rFonts w:hint="eastAsia" w:ascii="Times New Roman" w:hAnsi="Times New Roman"/>
            </w:rPr>
            <w:t>（三）充电设施需求预测</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_Toc17321 \h </w:instrText>
          </w:r>
          <w:r>
            <w:rPr>
              <w:rFonts w:ascii="Times New Roman" w:hAnsi="Times New Roman"/>
            </w:rPr>
            <w:fldChar w:fldCharType="separate"/>
          </w:r>
          <w:r>
            <w:rPr>
              <w:rFonts w:ascii="Times New Roman" w:hAnsi="Times New Roman"/>
            </w:rPr>
            <w:t>33</w:t>
          </w:r>
          <w:r>
            <w:rPr>
              <w:rFonts w:ascii="Times New Roman" w:hAnsi="Times New Roman"/>
            </w:rPr>
            <w:fldChar w:fldCharType="end"/>
          </w:r>
          <w:r>
            <w:rPr>
              <w:rFonts w:ascii="Times New Roman" w:hAnsi="Times New Roman"/>
            </w:rPr>
            <w:fldChar w:fldCharType="end"/>
          </w:r>
        </w:p>
        <w:p>
          <w:pPr>
            <w:pStyle w:val="15"/>
            <w:tabs>
              <w:tab w:val="right" w:leader="dot" w:pos="8306"/>
            </w:tabs>
            <w:rPr>
              <w:rFonts w:ascii="Times New Roman" w:hAnsi="Times New Roman"/>
            </w:rPr>
          </w:pPr>
          <w:r>
            <w:fldChar w:fldCharType="begin"/>
          </w:r>
          <w:r>
            <w:instrText xml:space="preserve"> HYPERLINK \l "_Toc10755" </w:instrText>
          </w:r>
          <w:r>
            <w:fldChar w:fldCharType="separate"/>
          </w:r>
          <w:r>
            <w:rPr>
              <w:rFonts w:hint="eastAsia" w:ascii="Times New Roman" w:hAnsi="Times New Roman"/>
            </w:rPr>
            <w:t>（四）用电需求预测</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_Toc10755 \h </w:instrText>
          </w:r>
          <w:r>
            <w:rPr>
              <w:rFonts w:ascii="Times New Roman" w:hAnsi="Times New Roman"/>
            </w:rPr>
            <w:fldChar w:fldCharType="separate"/>
          </w:r>
          <w:r>
            <w:rPr>
              <w:rFonts w:ascii="Times New Roman" w:hAnsi="Times New Roman"/>
            </w:rPr>
            <w:t>37</w:t>
          </w:r>
          <w:r>
            <w:rPr>
              <w:rFonts w:ascii="Times New Roman" w:hAnsi="Times New Roman"/>
            </w:rPr>
            <w:fldChar w:fldCharType="end"/>
          </w:r>
          <w:r>
            <w:rPr>
              <w:rFonts w:ascii="Times New Roman" w:hAnsi="Times New Roman"/>
            </w:rPr>
            <w:fldChar w:fldCharType="end"/>
          </w:r>
        </w:p>
        <w:p>
          <w:pPr>
            <w:pStyle w:val="13"/>
            <w:tabs>
              <w:tab w:val="right" w:leader="dot" w:pos="8306"/>
            </w:tabs>
            <w:rPr>
              <w:rFonts w:ascii="Times New Roman" w:hAnsi="Times New Roman"/>
            </w:rPr>
          </w:pPr>
          <w:r>
            <w:fldChar w:fldCharType="begin"/>
          </w:r>
          <w:r>
            <w:instrText xml:space="preserve"> HYPERLINK \l "_Toc7384" </w:instrText>
          </w:r>
          <w:r>
            <w:fldChar w:fldCharType="separate"/>
          </w:r>
          <w:r>
            <w:rPr>
              <w:rFonts w:hint="eastAsia" w:ascii="Times New Roman" w:hAnsi="Times New Roman"/>
            </w:rPr>
            <w:t>四、充电设施发展目标</w:t>
          </w:r>
          <w:r>
            <w:rPr>
              <w:rFonts w:ascii="Times New Roman" w:hAnsi="Times New Roman"/>
            </w:rPr>
            <w:tab/>
          </w:r>
          <w:r>
            <w:rPr>
              <w:rFonts w:ascii="Times New Roman" w:hAnsi="Times New Roman"/>
            </w:rPr>
            <w:fldChar w:fldCharType="begin"/>
          </w:r>
          <w:r>
            <w:rPr>
              <w:rFonts w:ascii="Times New Roman" w:hAnsi="Times New Roman"/>
            </w:rPr>
            <w:instrText xml:space="preserve"> PAGEREF _Toc7384 \h </w:instrText>
          </w:r>
          <w:r>
            <w:rPr>
              <w:rFonts w:ascii="Times New Roman" w:hAnsi="Times New Roman"/>
            </w:rPr>
            <w:fldChar w:fldCharType="separate"/>
          </w:r>
          <w:r>
            <w:rPr>
              <w:rFonts w:ascii="Times New Roman" w:hAnsi="Times New Roman"/>
            </w:rPr>
            <w:t>38</w:t>
          </w:r>
          <w:r>
            <w:rPr>
              <w:rFonts w:ascii="Times New Roman" w:hAnsi="Times New Roman"/>
            </w:rPr>
            <w:fldChar w:fldCharType="end"/>
          </w:r>
          <w:r>
            <w:rPr>
              <w:rFonts w:ascii="Times New Roman" w:hAnsi="Times New Roman"/>
            </w:rPr>
            <w:fldChar w:fldCharType="end"/>
          </w:r>
        </w:p>
        <w:p>
          <w:pPr>
            <w:pStyle w:val="15"/>
            <w:tabs>
              <w:tab w:val="right" w:leader="dot" w:pos="8306"/>
            </w:tabs>
            <w:rPr>
              <w:rFonts w:ascii="Times New Roman" w:hAnsi="Times New Roman"/>
            </w:rPr>
          </w:pPr>
          <w:r>
            <w:fldChar w:fldCharType="begin"/>
          </w:r>
          <w:r>
            <w:instrText xml:space="preserve"> HYPERLINK \l "_Toc4510" </w:instrText>
          </w:r>
          <w:r>
            <w:fldChar w:fldCharType="separate"/>
          </w:r>
          <w:r>
            <w:rPr>
              <w:rFonts w:hint="eastAsia" w:ascii="Times New Roman" w:hAnsi="Times New Roman"/>
            </w:rPr>
            <w:t>（一）发展思路</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_Toc4510 \h </w:instrText>
          </w:r>
          <w:r>
            <w:rPr>
              <w:rFonts w:ascii="Times New Roman" w:hAnsi="Times New Roman"/>
            </w:rPr>
            <w:fldChar w:fldCharType="separate"/>
          </w:r>
          <w:r>
            <w:rPr>
              <w:rFonts w:ascii="Times New Roman" w:hAnsi="Times New Roman"/>
            </w:rPr>
            <w:t>38</w:t>
          </w:r>
          <w:r>
            <w:rPr>
              <w:rFonts w:ascii="Times New Roman" w:hAnsi="Times New Roman"/>
            </w:rPr>
            <w:fldChar w:fldCharType="end"/>
          </w:r>
          <w:r>
            <w:rPr>
              <w:rFonts w:ascii="Times New Roman" w:hAnsi="Times New Roman"/>
            </w:rPr>
            <w:fldChar w:fldCharType="end"/>
          </w:r>
        </w:p>
        <w:p>
          <w:pPr>
            <w:pStyle w:val="15"/>
            <w:tabs>
              <w:tab w:val="right" w:leader="dot" w:pos="8306"/>
            </w:tabs>
            <w:rPr>
              <w:rFonts w:ascii="Times New Roman" w:hAnsi="Times New Roman"/>
            </w:rPr>
          </w:pPr>
          <w:r>
            <w:fldChar w:fldCharType="begin"/>
          </w:r>
          <w:r>
            <w:instrText xml:space="preserve"> HYPERLINK \l "_Toc20135" </w:instrText>
          </w:r>
          <w:r>
            <w:fldChar w:fldCharType="separate"/>
          </w:r>
          <w:r>
            <w:rPr>
              <w:rFonts w:hint="eastAsia" w:ascii="Times New Roman" w:hAnsi="Times New Roman"/>
            </w:rPr>
            <w:t>（二）总体发展目标</w:t>
          </w:r>
          <w:r>
            <w:rPr>
              <w:rFonts w:ascii="Times New Roman" w:hAnsi="Times New Roman"/>
            </w:rPr>
            <w:tab/>
          </w:r>
          <w:r>
            <w:rPr>
              <w:rFonts w:ascii="Times New Roman" w:hAnsi="Times New Roman"/>
            </w:rPr>
            <w:fldChar w:fldCharType="begin"/>
          </w:r>
          <w:r>
            <w:rPr>
              <w:rFonts w:ascii="Times New Roman" w:hAnsi="Times New Roman"/>
            </w:rPr>
            <w:instrText xml:space="preserve"> PAGEREF _Toc20135 \h </w:instrText>
          </w:r>
          <w:r>
            <w:rPr>
              <w:rFonts w:ascii="Times New Roman" w:hAnsi="Times New Roman"/>
            </w:rPr>
            <w:fldChar w:fldCharType="separate"/>
          </w:r>
          <w:r>
            <w:rPr>
              <w:rFonts w:ascii="Times New Roman" w:hAnsi="Times New Roman"/>
            </w:rPr>
            <w:t>38</w:t>
          </w:r>
          <w:r>
            <w:rPr>
              <w:rFonts w:ascii="Times New Roman" w:hAnsi="Times New Roman"/>
            </w:rPr>
            <w:fldChar w:fldCharType="end"/>
          </w:r>
          <w:r>
            <w:rPr>
              <w:rFonts w:ascii="Times New Roman" w:hAnsi="Times New Roman"/>
            </w:rPr>
            <w:fldChar w:fldCharType="end"/>
          </w:r>
        </w:p>
        <w:p>
          <w:pPr>
            <w:pStyle w:val="15"/>
            <w:tabs>
              <w:tab w:val="right" w:leader="dot" w:pos="8306"/>
            </w:tabs>
            <w:rPr>
              <w:rFonts w:ascii="Times New Roman" w:hAnsi="Times New Roman"/>
            </w:rPr>
          </w:pPr>
          <w:r>
            <w:fldChar w:fldCharType="begin"/>
          </w:r>
          <w:r>
            <w:instrText xml:space="preserve"> HYPERLINK \l "_Toc31724" </w:instrText>
          </w:r>
          <w:r>
            <w:fldChar w:fldCharType="separate"/>
          </w:r>
          <w:r>
            <w:rPr>
              <w:rFonts w:hint="eastAsia" w:ascii="Times New Roman" w:hAnsi="Times New Roman"/>
            </w:rPr>
            <w:t>（三）分阶段发展目标</w:t>
          </w:r>
          <w:r>
            <w:rPr>
              <w:rFonts w:ascii="Times New Roman" w:hAnsi="Times New Roman"/>
            </w:rPr>
            <w:tab/>
          </w:r>
          <w:r>
            <w:rPr>
              <w:rFonts w:ascii="Times New Roman" w:hAnsi="Times New Roman"/>
            </w:rPr>
            <w:fldChar w:fldCharType="begin"/>
          </w:r>
          <w:r>
            <w:rPr>
              <w:rFonts w:ascii="Times New Roman" w:hAnsi="Times New Roman"/>
            </w:rPr>
            <w:instrText xml:space="preserve"> PAGEREF _Toc31724 \h </w:instrText>
          </w:r>
          <w:r>
            <w:rPr>
              <w:rFonts w:ascii="Times New Roman" w:hAnsi="Times New Roman"/>
            </w:rPr>
            <w:fldChar w:fldCharType="separate"/>
          </w:r>
          <w:r>
            <w:rPr>
              <w:rFonts w:ascii="Times New Roman" w:hAnsi="Times New Roman"/>
            </w:rPr>
            <w:t>40</w:t>
          </w:r>
          <w:r>
            <w:rPr>
              <w:rFonts w:ascii="Times New Roman" w:hAnsi="Times New Roman"/>
            </w:rPr>
            <w:fldChar w:fldCharType="end"/>
          </w:r>
          <w:r>
            <w:rPr>
              <w:rFonts w:ascii="Times New Roman" w:hAnsi="Times New Roman"/>
            </w:rPr>
            <w:fldChar w:fldCharType="end"/>
          </w:r>
        </w:p>
        <w:p>
          <w:pPr>
            <w:pStyle w:val="15"/>
            <w:tabs>
              <w:tab w:val="right" w:leader="dot" w:pos="8306"/>
            </w:tabs>
            <w:rPr>
              <w:rFonts w:ascii="Times New Roman" w:hAnsi="Times New Roman"/>
            </w:rPr>
          </w:pPr>
          <w:r>
            <w:fldChar w:fldCharType="begin"/>
          </w:r>
          <w:r>
            <w:instrText xml:space="preserve"> HYPERLINK \l "_Toc25519" </w:instrText>
          </w:r>
          <w:r>
            <w:fldChar w:fldCharType="separate"/>
          </w:r>
          <w:r>
            <w:rPr>
              <w:rFonts w:hint="eastAsia" w:ascii="Times New Roman" w:hAnsi="Times New Roman"/>
            </w:rPr>
            <w:t>（四）分区域发展目标</w:t>
          </w:r>
          <w:r>
            <w:rPr>
              <w:rFonts w:ascii="Times New Roman" w:hAnsi="Times New Roman"/>
            </w:rPr>
            <w:tab/>
          </w:r>
          <w:r>
            <w:rPr>
              <w:rFonts w:ascii="Times New Roman" w:hAnsi="Times New Roman"/>
            </w:rPr>
            <w:fldChar w:fldCharType="begin"/>
          </w:r>
          <w:r>
            <w:rPr>
              <w:rFonts w:ascii="Times New Roman" w:hAnsi="Times New Roman"/>
            </w:rPr>
            <w:instrText xml:space="preserve"> PAGEREF _Toc25519 \h </w:instrText>
          </w:r>
          <w:r>
            <w:rPr>
              <w:rFonts w:ascii="Times New Roman" w:hAnsi="Times New Roman"/>
            </w:rPr>
            <w:fldChar w:fldCharType="separate"/>
          </w:r>
          <w:r>
            <w:rPr>
              <w:rFonts w:ascii="Times New Roman" w:hAnsi="Times New Roman"/>
            </w:rPr>
            <w:t>41</w:t>
          </w:r>
          <w:r>
            <w:rPr>
              <w:rFonts w:ascii="Times New Roman" w:hAnsi="Times New Roman"/>
            </w:rPr>
            <w:fldChar w:fldCharType="end"/>
          </w:r>
          <w:r>
            <w:rPr>
              <w:rFonts w:ascii="Times New Roman" w:hAnsi="Times New Roman"/>
            </w:rPr>
            <w:fldChar w:fldCharType="end"/>
          </w:r>
        </w:p>
        <w:p>
          <w:pPr>
            <w:pStyle w:val="15"/>
            <w:tabs>
              <w:tab w:val="right" w:leader="dot" w:pos="8306"/>
            </w:tabs>
            <w:rPr>
              <w:rFonts w:ascii="Times New Roman" w:hAnsi="Times New Roman"/>
            </w:rPr>
          </w:pPr>
          <w:r>
            <w:fldChar w:fldCharType="begin"/>
          </w:r>
          <w:r>
            <w:instrText xml:space="preserve"> HYPERLINK \l "_Toc18337" </w:instrText>
          </w:r>
          <w:r>
            <w:fldChar w:fldCharType="separate"/>
          </w:r>
          <w:r>
            <w:rPr>
              <w:rFonts w:hint="eastAsia" w:ascii="Times New Roman" w:hAnsi="Times New Roman"/>
            </w:rPr>
            <w:t>（五）分类型发展目标</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_Toc18337 \h </w:instrText>
          </w:r>
          <w:r>
            <w:rPr>
              <w:rFonts w:ascii="Times New Roman" w:hAnsi="Times New Roman"/>
            </w:rPr>
            <w:fldChar w:fldCharType="separate"/>
          </w:r>
          <w:r>
            <w:rPr>
              <w:rFonts w:ascii="Times New Roman" w:hAnsi="Times New Roman"/>
            </w:rPr>
            <w:t>43</w:t>
          </w:r>
          <w:r>
            <w:rPr>
              <w:rFonts w:ascii="Times New Roman" w:hAnsi="Times New Roman"/>
            </w:rPr>
            <w:fldChar w:fldCharType="end"/>
          </w:r>
          <w:r>
            <w:rPr>
              <w:rFonts w:ascii="Times New Roman" w:hAnsi="Times New Roman"/>
            </w:rPr>
            <w:fldChar w:fldCharType="end"/>
          </w:r>
        </w:p>
        <w:p>
          <w:pPr>
            <w:pStyle w:val="15"/>
            <w:tabs>
              <w:tab w:val="right" w:leader="dot" w:pos="8306"/>
            </w:tabs>
            <w:rPr>
              <w:rFonts w:ascii="Times New Roman" w:hAnsi="Times New Roman"/>
            </w:rPr>
          </w:pPr>
          <w:r>
            <w:fldChar w:fldCharType="begin"/>
          </w:r>
          <w:r>
            <w:instrText xml:space="preserve"> HYPERLINK \l "_Toc19532" </w:instrText>
          </w:r>
          <w:r>
            <w:fldChar w:fldCharType="separate"/>
          </w:r>
          <w:r>
            <w:rPr>
              <w:rFonts w:hint="eastAsia" w:ascii="Times New Roman" w:hAnsi="Times New Roman"/>
            </w:rPr>
            <w:t>（六）配套电网发展目标</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_Toc19532 \h </w:instrText>
          </w:r>
          <w:r>
            <w:rPr>
              <w:rFonts w:ascii="Times New Roman" w:hAnsi="Times New Roman"/>
            </w:rPr>
            <w:fldChar w:fldCharType="separate"/>
          </w:r>
          <w:r>
            <w:rPr>
              <w:rFonts w:ascii="Times New Roman" w:hAnsi="Times New Roman"/>
            </w:rPr>
            <w:t>43</w:t>
          </w:r>
          <w:r>
            <w:rPr>
              <w:rFonts w:ascii="Times New Roman" w:hAnsi="Times New Roman"/>
            </w:rPr>
            <w:fldChar w:fldCharType="end"/>
          </w:r>
          <w:r>
            <w:rPr>
              <w:rFonts w:ascii="Times New Roman" w:hAnsi="Times New Roman"/>
            </w:rPr>
            <w:fldChar w:fldCharType="end"/>
          </w:r>
        </w:p>
        <w:p>
          <w:pPr>
            <w:pStyle w:val="13"/>
            <w:tabs>
              <w:tab w:val="right" w:leader="dot" w:pos="8306"/>
            </w:tabs>
            <w:rPr>
              <w:rFonts w:ascii="Times New Roman" w:hAnsi="Times New Roman"/>
            </w:rPr>
          </w:pPr>
          <w:r>
            <w:fldChar w:fldCharType="begin"/>
          </w:r>
          <w:r>
            <w:instrText xml:space="preserve"> HYPERLINK \l "_Toc26172" </w:instrText>
          </w:r>
          <w:r>
            <w:fldChar w:fldCharType="separate"/>
          </w:r>
          <w:r>
            <w:rPr>
              <w:rFonts w:hint="eastAsia" w:ascii="Times New Roman" w:hAnsi="Times New Roman"/>
            </w:rPr>
            <w:t>五、重点任务</w:t>
          </w:r>
          <w:r>
            <w:rPr>
              <w:rFonts w:ascii="Times New Roman" w:hAnsi="Times New Roman"/>
            </w:rPr>
            <w:tab/>
          </w:r>
          <w:r>
            <w:rPr>
              <w:rFonts w:ascii="Times New Roman" w:hAnsi="Times New Roman"/>
            </w:rPr>
            <w:fldChar w:fldCharType="begin"/>
          </w:r>
          <w:r>
            <w:rPr>
              <w:rFonts w:ascii="Times New Roman" w:hAnsi="Times New Roman"/>
            </w:rPr>
            <w:instrText xml:space="preserve"> PAGEREF _Toc26172 \h </w:instrText>
          </w:r>
          <w:r>
            <w:rPr>
              <w:rFonts w:ascii="Times New Roman" w:hAnsi="Times New Roman"/>
            </w:rPr>
            <w:fldChar w:fldCharType="separate"/>
          </w:r>
          <w:r>
            <w:rPr>
              <w:rFonts w:ascii="Times New Roman" w:hAnsi="Times New Roman"/>
            </w:rPr>
            <w:t>44</w:t>
          </w:r>
          <w:r>
            <w:rPr>
              <w:rFonts w:ascii="Times New Roman" w:hAnsi="Times New Roman"/>
            </w:rPr>
            <w:fldChar w:fldCharType="end"/>
          </w:r>
          <w:r>
            <w:rPr>
              <w:rFonts w:ascii="Times New Roman" w:hAnsi="Times New Roman"/>
            </w:rPr>
            <w:fldChar w:fldCharType="end"/>
          </w:r>
        </w:p>
        <w:p>
          <w:pPr>
            <w:pStyle w:val="15"/>
            <w:tabs>
              <w:tab w:val="right" w:leader="dot" w:pos="8306"/>
            </w:tabs>
            <w:rPr>
              <w:rFonts w:ascii="Times New Roman" w:hAnsi="Times New Roman"/>
            </w:rPr>
          </w:pPr>
          <w:r>
            <w:fldChar w:fldCharType="begin"/>
          </w:r>
          <w:r>
            <w:instrText xml:space="preserve"> HYPERLINK \l "_Toc13384" </w:instrText>
          </w:r>
          <w:r>
            <w:fldChar w:fldCharType="separate"/>
          </w:r>
          <w:r>
            <w:rPr>
              <w:rFonts w:hint="eastAsia" w:ascii="Times New Roman" w:hAnsi="Times New Roman"/>
            </w:rPr>
            <w:t>（一）构建完善的充电设施体系</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_Toc13384 \h </w:instrText>
          </w:r>
          <w:r>
            <w:rPr>
              <w:rFonts w:ascii="Times New Roman" w:hAnsi="Times New Roman"/>
            </w:rPr>
            <w:fldChar w:fldCharType="separate"/>
          </w:r>
          <w:r>
            <w:rPr>
              <w:rFonts w:ascii="Times New Roman" w:hAnsi="Times New Roman"/>
            </w:rPr>
            <w:t>44</w:t>
          </w:r>
          <w:r>
            <w:rPr>
              <w:rFonts w:ascii="Times New Roman" w:hAnsi="Times New Roman"/>
            </w:rPr>
            <w:fldChar w:fldCharType="end"/>
          </w:r>
          <w:r>
            <w:rPr>
              <w:rFonts w:ascii="Times New Roman" w:hAnsi="Times New Roman"/>
            </w:rPr>
            <w:fldChar w:fldCharType="end"/>
          </w:r>
        </w:p>
        <w:p>
          <w:pPr>
            <w:pStyle w:val="15"/>
            <w:tabs>
              <w:tab w:val="right" w:leader="dot" w:pos="8306"/>
            </w:tabs>
            <w:rPr>
              <w:rFonts w:ascii="Times New Roman" w:hAnsi="Times New Roman"/>
            </w:rPr>
          </w:pPr>
          <w:r>
            <w:fldChar w:fldCharType="begin"/>
          </w:r>
          <w:r>
            <w:instrText xml:space="preserve"> HYPERLINK \l "_Toc31613" </w:instrText>
          </w:r>
          <w:r>
            <w:fldChar w:fldCharType="separate"/>
          </w:r>
          <w:r>
            <w:rPr>
              <w:rFonts w:hint="eastAsia" w:ascii="Times New Roman" w:hAnsi="Times New Roman"/>
            </w:rPr>
            <w:t>（二）推动居民区充电设施建设落地</w:t>
          </w:r>
          <w:r>
            <w:rPr>
              <w:rFonts w:ascii="Times New Roman" w:hAnsi="Times New Roman"/>
            </w:rPr>
            <w:tab/>
          </w:r>
          <w:r>
            <w:rPr>
              <w:rFonts w:ascii="Times New Roman" w:hAnsi="Times New Roman"/>
            </w:rPr>
            <w:fldChar w:fldCharType="begin"/>
          </w:r>
          <w:r>
            <w:rPr>
              <w:rFonts w:ascii="Times New Roman" w:hAnsi="Times New Roman"/>
            </w:rPr>
            <w:instrText xml:space="preserve"> PAGEREF _Toc31613 \h </w:instrText>
          </w:r>
          <w:r>
            <w:rPr>
              <w:rFonts w:ascii="Times New Roman" w:hAnsi="Times New Roman"/>
            </w:rPr>
            <w:fldChar w:fldCharType="separate"/>
          </w:r>
          <w:r>
            <w:rPr>
              <w:rFonts w:ascii="Times New Roman" w:hAnsi="Times New Roman"/>
            </w:rPr>
            <w:t>47</w:t>
          </w:r>
          <w:r>
            <w:rPr>
              <w:rFonts w:ascii="Times New Roman" w:hAnsi="Times New Roman"/>
            </w:rPr>
            <w:fldChar w:fldCharType="end"/>
          </w:r>
          <w:r>
            <w:rPr>
              <w:rFonts w:ascii="Times New Roman" w:hAnsi="Times New Roman"/>
            </w:rPr>
            <w:fldChar w:fldCharType="end"/>
          </w:r>
        </w:p>
        <w:p>
          <w:pPr>
            <w:pStyle w:val="15"/>
            <w:tabs>
              <w:tab w:val="right" w:leader="dot" w:pos="8306"/>
            </w:tabs>
            <w:rPr>
              <w:rFonts w:ascii="Times New Roman" w:hAnsi="Times New Roman"/>
            </w:rPr>
          </w:pPr>
          <w:r>
            <w:fldChar w:fldCharType="begin"/>
          </w:r>
          <w:r>
            <w:instrText xml:space="preserve"> HYPERLINK \l "_Toc17151" </w:instrText>
          </w:r>
          <w:r>
            <w:fldChar w:fldCharType="separate"/>
          </w:r>
          <w:r>
            <w:rPr>
              <w:rFonts w:hint="eastAsia" w:ascii="Times New Roman" w:hAnsi="Times New Roman"/>
            </w:rPr>
            <w:t>（三）打造全省充电设施“一张网”</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_Toc17151 \h </w:instrText>
          </w:r>
          <w:r>
            <w:rPr>
              <w:rFonts w:ascii="Times New Roman" w:hAnsi="Times New Roman"/>
            </w:rPr>
            <w:fldChar w:fldCharType="separate"/>
          </w:r>
          <w:r>
            <w:rPr>
              <w:rFonts w:ascii="Times New Roman" w:hAnsi="Times New Roman"/>
            </w:rPr>
            <w:t>47</w:t>
          </w:r>
          <w:r>
            <w:rPr>
              <w:rFonts w:ascii="Times New Roman" w:hAnsi="Times New Roman"/>
            </w:rPr>
            <w:fldChar w:fldCharType="end"/>
          </w:r>
          <w:r>
            <w:rPr>
              <w:rFonts w:ascii="Times New Roman" w:hAnsi="Times New Roman"/>
            </w:rPr>
            <w:fldChar w:fldCharType="end"/>
          </w:r>
        </w:p>
        <w:p>
          <w:pPr>
            <w:pStyle w:val="15"/>
            <w:tabs>
              <w:tab w:val="right" w:leader="dot" w:pos="8306"/>
            </w:tabs>
            <w:rPr>
              <w:rFonts w:ascii="Times New Roman" w:hAnsi="Times New Roman"/>
            </w:rPr>
          </w:pPr>
          <w:r>
            <w:fldChar w:fldCharType="begin"/>
          </w:r>
          <w:r>
            <w:instrText xml:space="preserve"> HYPERLINK \l "_Toc16775" </w:instrText>
          </w:r>
          <w:r>
            <w:fldChar w:fldCharType="separate"/>
          </w:r>
          <w:r>
            <w:rPr>
              <w:rFonts w:hint="eastAsia" w:ascii="Times New Roman" w:hAnsi="Times New Roman"/>
            </w:rPr>
            <w:t>（四）加强充电设施全链条安全管理</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_Toc16775 \h </w:instrText>
          </w:r>
          <w:r>
            <w:rPr>
              <w:rFonts w:ascii="Times New Roman" w:hAnsi="Times New Roman"/>
            </w:rPr>
            <w:fldChar w:fldCharType="separate"/>
          </w:r>
          <w:r>
            <w:rPr>
              <w:rFonts w:ascii="Times New Roman" w:hAnsi="Times New Roman"/>
            </w:rPr>
            <w:t>48</w:t>
          </w:r>
          <w:r>
            <w:rPr>
              <w:rFonts w:ascii="Times New Roman" w:hAnsi="Times New Roman"/>
            </w:rPr>
            <w:fldChar w:fldCharType="end"/>
          </w:r>
          <w:r>
            <w:rPr>
              <w:rFonts w:ascii="Times New Roman" w:hAnsi="Times New Roman"/>
            </w:rPr>
            <w:fldChar w:fldCharType="end"/>
          </w:r>
        </w:p>
        <w:p>
          <w:pPr>
            <w:pStyle w:val="15"/>
            <w:tabs>
              <w:tab w:val="right" w:leader="dot" w:pos="8306"/>
            </w:tabs>
            <w:rPr>
              <w:rFonts w:ascii="Times New Roman" w:hAnsi="Times New Roman"/>
            </w:rPr>
          </w:pPr>
          <w:r>
            <w:fldChar w:fldCharType="begin"/>
          </w:r>
          <w:r>
            <w:instrText xml:space="preserve"> HYPERLINK \l "_Toc370" </w:instrText>
          </w:r>
          <w:r>
            <w:fldChar w:fldCharType="separate"/>
          </w:r>
          <w:r>
            <w:rPr>
              <w:rFonts w:hint="eastAsia" w:ascii="Times New Roman" w:hAnsi="Times New Roman"/>
            </w:rPr>
            <w:t>（五）强化充电设施行业</w:t>
          </w:r>
          <w:r>
            <w:rPr>
              <w:rFonts w:ascii="Times New Roman" w:hAnsi="Times New Roman"/>
            </w:rPr>
            <w:t>管理</w:t>
          </w:r>
          <w:r>
            <w:rPr>
              <w:rFonts w:ascii="Times New Roman" w:hAnsi="Times New Roman"/>
            </w:rPr>
            <w:tab/>
          </w:r>
          <w:r>
            <w:rPr>
              <w:rFonts w:ascii="Times New Roman" w:hAnsi="Times New Roman"/>
            </w:rPr>
            <w:fldChar w:fldCharType="begin"/>
          </w:r>
          <w:r>
            <w:rPr>
              <w:rFonts w:ascii="Times New Roman" w:hAnsi="Times New Roman"/>
            </w:rPr>
            <w:instrText xml:space="preserve"> PAGEREF _Toc370 \h </w:instrText>
          </w:r>
          <w:r>
            <w:rPr>
              <w:rFonts w:ascii="Times New Roman" w:hAnsi="Times New Roman"/>
            </w:rPr>
            <w:fldChar w:fldCharType="separate"/>
          </w:r>
          <w:r>
            <w:rPr>
              <w:rFonts w:ascii="Times New Roman" w:hAnsi="Times New Roman"/>
            </w:rPr>
            <w:t>49</w:t>
          </w:r>
          <w:r>
            <w:rPr>
              <w:rFonts w:ascii="Times New Roman" w:hAnsi="Times New Roman"/>
            </w:rPr>
            <w:fldChar w:fldCharType="end"/>
          </w:r>
          <w:r>
            <w:rPr>
              <w:rFonts w:ascii="Times New Roman" w:hAnsi="Times New Roman"/>
            </w:rPr>
            <w:fldChar w:fldCharType="end"/>
          </w:r>
        </w:p>
        <w:p>
          <w:pPr>
            <w:pStyle w:val="15"/>
            <w:tabs>
              <w:tab w:val="right" w:leader="dot" w:pos="8306"/>
            </w:tabs>
            <w:rPr>
              <w:rFonts w:ascii="Times New Roman" w:hAnsi="Times New Roman"/>
            </w:rPr>
          </w:pPr>
          <w:r>
            <w:fldChar w:fldCharType="begin"/>
          </w:r>
          <w:r>
            <w:instrText xml:space="preserve"> HYPERLINK \l "_Toc7960" </w:instrText>
          </w:r>
          <w:r>
            <w:fldChar w:fldCharType="separate"/>
          </w:r>
          <w:r>
            <w:rPr>
              <w:rFonts w:hint="eastAsia" w:ascii="Times New Roman" w:hAnsi="Times New Roman"/>
            </w:rPr>
            <w:t>（六）积极推动</w:t>
          </w:r>
          <w:r>
            <w:rPr>
              <w:rFonts w:ascii="Times New Roman" w:hAnsi="Times New Roman"/>
            </w:rPr>
            <w:t>商业模式</w:t>
          </w:r>
          <w:r>
            <w:rPr>
              <w:rFonts w:hint="eastAsia" w:ascii="Times New Roman" w:hAnsi="Times New Roman"/>
            </w:rPr>
            <w:t>创新及产业高质量发展</w:t>
          </w:r>
          <w:r>
            <w:rPr>
              <w:rFonts w:ascii="Times New Roman" w:hAnsi="Times New Roman"/>
            </w:rPr>
            <w:tab/>
          </w:r>
          <w:r>
            <w:rPr>
              <w:rFonts w:ascii="Times New Roman" w:hAnsi="Times New Roman"/>
            </w:rPr>
            <w:fldChar w:fldCharType="begin"/>
          </w:r>
          <w:r>
            <w:rPr>
              <w:rFonts w:ascii="Times New Roman" w:hAnsi="Times New Roman"/>
            </w:rPr>
            <w:instrText xml:space="preserve"> PAGEREF _Toc7960 \h </w:instrText>
          </w:r>
          <w:r>
            <w:rPr>
              <w:rFonts w:ascii="Times New Roman" w:hAnsi="Times New Roman"/>
            </w:rPr>
            <w:fldChar w:fldCharType="separate"/>
          </w:r>
          <w:r>
            <w:rPr>
              <w:rFonts w:ascii="Times New Roman" w:hAnsi="Times New Roman"/>
            </w:rPr>
            <w:t>50</w:t>
          </w:r>
          <w:r>
            <w:rPr>
              <w:rFonts w:ascii="Times New Roman" w:hAnsi="Times New Roman"/>
            </w:rPr>
            <w:fldChar w:fldCharType="end"/>
          </w:r>
          <w:r>
            <w:rPr>
              <w:rFonts w:ascii="Times New Roman" w:hAnsi="Times New Roman"/>
            </w:rPr>
            <w:fldChar w:fldCharType="end"/>
          </w:r>
        </w:p>
        <w:p>
          <w:pPr>
            <w:pStyle w:val="15"/>
            <w:tabs>
              <w:tab w:val="right" w:leader="dot" w:pos="8306"/>
            </w:tabs>
            <w:rPr>
              <w:rFonts w:ascii="Times New Roman" w:hAnsi="Times New Roman"/>
            </w:rPr>
          </w:pPr>
          <w:r>
            <w:fldChar w:fldCharType="begin"/>
          </w:r>
          <w:r>
            <w:instrText xml:space="preserve"> HYPERLINK \l "_Toc15907" </w:instrText>
          </w:r>
          <w:r>
            <w:fldChar w:fldCharType="separate"/>
          </w:r>
          <w:r>
            <w:rPr>
              <w:rFonts w:hint="eastAsia" w:ascii="Times New Roman" w:hAnsi="Times New Roman"/>
            </w:rPr>
            <w:t>（七）强化新技术应用</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_Toc15907 \h </w:instrText>
          </w:r>
          <w:r>
            <w:rPr>
              <w:rFonts w:ascii="Times New Roman" w:hAnsi="Times New Roman"/>
            </w:rPr>
            <w:fldChar w:fldCharType="separate"/>
          </w:r>
          <w:r>
            <w:rPr>
              <w:rFonts w:ascii="Times New Roman" w:hAnsi="Times New Roman"/>
            </w:rPr>
            <w:t>51</w:t>
          </w:r>
          <w:r>
            <w:rPr>
              <w:rFonts w:ascii="Times New Roman" w:hAnsi="Times New Roman"/>
            </w:rPr>
            <w:fldChar w:fldCharType="end"/>
          </w:r>
          <w:r>
            <w:rPr>
              <w:rFonts w:ascii="Times New Roman" w:hAnsi="Times New Roman"/>
            </w:rPr>
            <w:fldChar w:fldCharType="end"/>
          </w:r>
        </w:p>
        <w:p>
          <w:pPr>
            <w:pStyle w:val="15"/>
            <w:tabs>
              <w:tab w:val="right" w:leader="dot" w:pos="8306"/>
            </w:tabs>
            <w:rPr>
              <w:rFonts w:ascii="Times New Roman" w:hAnsi="Times New Roman"/>
            </w:rPr>
          </w:pPr>
          <w:r>
            <w:fldChar w:fldCharType="begin"/>
          </w:r>
          <w:r>
            <w:instrText xml:space="preserve"> HYPERLINK \l "_Toc2172" </w:instrText>
          </w:r>
          <w:r>
            <w:fldChar w:fldCharType="separate"/>
          </w:r>
          <w:r>
            <w:rPr>
              <w:rFonts w:hint="eastAsia" w:ascii="Times New Roman" w:hAnsi="Times New Roman"/>
            </w:rPr>
            <w:t>（八）提升电力保障能力</w:t>
          </w:r>
          <w:r>
            <w:rPr>
              <w:rFonts w:ascii="Times New Roman" w:hAnsi="Times New Roman"/>
            </w:rPr>
            <w:tab/>
          </w:r>
          <w:r>
            <w:rPr>
              <w:rFonts w:ascii="Times New Roman" w:hAnsi="Times New Roman"/>
            </w:rPr>
            <w:fldChar w:fldCharType="begin"/>
          </w:r>
          <w:r>
            <w:rPr>
              <w:rFonts w:ascii="Times New Roman" w:hAnsi="Times New Roman"/>
            </w:rPr>
            <w:instrText xml:space="preserve"> PAGEREF _Toc2172 \h </w:instrText>
          </w:r>
          <w:r>
            <w:rPr>
              <w:rFonts w:ascii="Times New Roman" w:hAnsi="Times New Roman"/>
            </w:rPr>
            <w:fldChar w:fldCharType="separate"/>
          </w:r>
          <w:r>
            <w:rPr>
              <w:rFonts w:ascii="Times New Roman" w:hAnsi="Times New Roman"/>
            </w:rPr>
            <w:t>52</w:t>
          </w:r>
          <w:r>
            <w:rPr>
              <w:rFonts w:ascii="Times New Roman" w:hAnsi="Times New Roman"/>
            </w:rPr>
            <w:fldChar w:fldCharType="end"/>
          </w:r>
          <w:r>
            <w:rPr>
              <w:rFonts w:ascii="Times New Roman" w:hAnsi="Times New Roman"/>
            </w:rPr>
            <w:fldChar w:fldCharType="end"/>
          </w:r>
        </w:p>
        <w:p>
          <w:pPr>
            <w:pStyle w:val="13"/>
            <w:tabs>
              <w:tab w:val="right" w:leader="dot" w:pos="8306"/>
            </w:tabs>
            <w:rPr>
              <w:rFonts w:ascii="Times New Roman" w:hAnsi="Times New Roman"/>
            </w:rPr>
          </w:pPr>
          <w:r>
            <w:fldChar w:fldCharType="begin"/>
          </w:r>
          <w:r>
            <w:instrText xml:space="preserve"> HYPERLINK \l "_Toc17589" </w:instrText>
          </w:r>
          <w:r>
            <w:fldChar w:fldCharType="separate"/>
          </w:r>
          <w:r>
            <w:rPr>
              <w:rFonts w:hint="eastAsia" w:ascii="Times New Roman" w:hAnsi="Times New Roman"/>
            </w:rPr>
            <w:t>六、规划实施</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_Toc17589 \h </w:instrText>
          </w:r>
          <w:r>
            <w:rPr>
              <w:rFonts w:ascii="Times New Roman" w:hAnsi="Times New Roman"/>
            </w:rPr>
            <w:fldChar w:fldCharType="separate"/>
          </w:r>
          <w:r>
            <w:rPr>
              <w:rFonts w:ascii="Times New Roman" w:hAnsi="Times New Roman"/>
            </w:rPr>
            <w:t>53</w:t>
          </w:r>
          <w:r>
            <w:rPr>
              <w:rFonts w:ascii="Times New Roman" w:hAnsi="Times New Roman"/>
            </w:rPr>
            <w:fldChar w:fldCharType="end"/>
          </w:r>
          <w:r>
            <w:rPr>
              <w:rFonts w:ascii="Times New Roman" w:hAnsi="Times New Roman"/>
            </w:rPr>
            <w:fldChar w:fldCharType="end"/>
          </w:r>
        </w:p>
        <w:p>
          <w:pPr>
            <w:pStyle w:val="15"/>
            <w:tabs>
              <w:tab w:val="right" w:leader="dot" w:pos="8306"/>
            </w:tabs>
            <w:rPr>
              <w:rFonts w:ascii="Times New Roman" w:hAnsi="Times New Roman"/>
            </w:rPr>
          </w:pPr>
          <w:r>
            <w:fldChar w:fldCharType="begin"/>
          </w:r>
          <w:r>
            <w:instrText xml:space="preserve"> HYPERLINK \l "_Toc18729" </w:instrText>
          </w:r>
          <w:r>
            <w:fldChar w:fldCharType="separate"/>
          </w:r>
          <w:r>
            <w:rPr>
              <w:rFonts w:ascii="Times New Roman" w:hAnsi="Times New Roman"/>
            </w:rPr>
            <w:t>（</w:t>
          </w:r>
          <w:r>
            <w:rPr>
              <w:rFonts w:hint="eastAsia" w:ascii="Times New Roman" w:hAnsi="Times New Roman"/>
            </w:rPr>
            <w:t>一</w:t>
          </w:r>
          <w:r>
            <w:rPr>
              <w:rFonts w:ascii="Times New Roman" w:hAnsi="Times New Roman"/>
            </w:rPr>
            <w:t>）保障措施</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_Toc18729 \h </w:instrText>
          </w:r>
          <w:r>
            <w:rPr>
              <w:rFonts w:ascii="Times New Roman" w:hAnsi="Times New Roman"/>
            </w:rPr>
            <w:fldChar w:fldCharType="separate"/>
          </w:r>
          <w:r>
            <w:rPr>
              <w:rFonts w:ascii="Times New Roman" w:hAnsi="Times New Roman"/>
            </w:rPr>
            <w:t>53</w:t>
          </w:r>
          <w:r>
            <w:rPr>
              <w:rFonts w:ascii="Times New Roman" w:hAnsi="Times New Roman"/>
            </w:rPr>
            <w:fldChar w:fldCharType="end"/>
          </w:r>
          <w:r>
            <w:rPr>
              <w:rFonts w:ascii="Times New Roman" w:hAnsi="Times New Roman"/>
            </w:rPr>
            <w:fldChar w:fldCharType="end"/>
          </w:r>
        </w:p>
        <w:p>
          <w:pPr>
            <w:pStyle w:val="15"/>
            <w:tabs>
              <w:tab w:val="right" w:leader="dot" w:pos="8306"/>
            </w:tabs>
            <w:rPr>
              <w:rFonts w:ascii="Times New Roman" w:hAnsi="Times New Roman"/>
            </w:rPr>
          </w:pPr>
          <w:r>
            <w:fldChar w:fldCharType="begin"/>
          </w:r>
          <w:r>
            <w:instrText xml:space="preserve"> HYPERLINK \l "_Toc12195" </w:instrText>
          </w:r>
          <w:r>
            <w:fldChar w:fldCharType="separate"/>
          </w:r>
          <w:r>
            <w:rPr>
              <w:rFonts w:hint="eastAsia" w:ascii="Times New Roman" w:hAnsi="Times New Roman"/>
            </w:rPr>
            <w:t>（二）</w:t>
          </w:r>
          <w:r>
            <w:rPr>
              <w:rFonts w:ascii="Times New Roman" w:hAnsi="Times New Roman"/>
            </w:rPr>
            <w:t>规划投资</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_Toc12195 \h </w:instrText>
          </w:r>
          <w:r>
            <w:rPr>
              <w:rFonts w:ascii="Times New Roman" w:hAnsi="Times New Roman"/>
            </w:rPr>
            <w:fldChar w:fldCharType="separate"/>
          </w:r>
          <w:r>
            <w:rPr>
              <w:rFonts w:ascii="Times New Roman" w:hAnsi="Times New Roman"/>
            </w:rPr>
            <w:t>55</w:t>
          </w:r>
          <w:r>
            <w:rPr>
              <w:rFonts w:ascii="Times New Roman" w:hAnsi="Times New Roman"/>
            </w:rPr>
            <w:fldChar w:fldCharType="end"/>
          </w:r>
          <w:r>
            <w:rPr>
              <w:rFonts w:ascii="Times New Roman" w:hAnsi="Times New Roman"/>
            </w:rPr>
            <w:fldChar w:fldCharType="end"/>
          </w:r>
        </w:p>
        <w:p>
          <w:pPr>
            <w:pStyle w:val="15"/>
            <w:tabs>
              <w:tab w:val="right" w:leader="dot" w:pos="8306"/>
            </w:tabs>
            <w:rPr>
              <w:rFonts w:ascii="Times New Roman" w:hAnsi="Times New Roman"/>
            </w:rPr>
          </w:pPr>
          <w:r>
            <w:fldChar w:fldCharType="begin"/>
          </w:r>
          <w:r>
            <w:instrText xml:space="preserve"> HYPERLINK \l "_Toc803" </w:instrText>
          </w:r>
          <w:r>
            <w:fldChar w:fldCharType="separate"/>
          </w:r>
          <w:r>
            <w:rPr>
              <w:rFonts w:hint="eastAsia" w:ascii="Times New Roman" w:hAnsi="Times New Roman"/>
            </w:rPr>
            <w:t>（三）实施效果</w:t>
          </w:r>
          <w:r>
            <w:rPr>
              <w:rFonts w:ascii="Times New Roman" w:hAnsi="Times New Roman"/>
            </w:rPr>
            <w:tab/>
          </w:r>
          <w:r>
            <w:rPr>
              <w:rFonts w:ascii="Times New Roman" w:hAnsi="Times New Roman"/>
            </w:rPr>
            <w:fldChar w:fldCharType="begin"/>
          </w:r>
          <w:r>
            <w:rPr>
              <w:rFonts w:ascii="Times New Roman" w:hAnsi="Times New Roman"/>
            </w:rPr>
            <w:instrText xml:space="preserve"> PAGEREF _Toc803 \h </w:instrText>
          </w:r>
          <w:r>
            <w:rPr>
              <w:rFonts w:ascii="Times New Roman" w:hAnsi="Times New Roman"/>
            </w:rPr>
            <w:fldChar w:fldCharType="separate"/>
          </w:r>
          <w:r>
            <w:rPr>
              <w:rFonts w:ascii="Times New Roman" w:hAnsi="Times New Roman"/>
            </w:rPr>
            <w:t>57</w:t>
          </w:r>
          <w:r>
            <w:rPr>
              <w:rFonts w:ascii="Times New Roman" w:hAnsi="Times New Roman"/>
            </w:rPr>
            <w:fldChar w:fldCharType="end"/>
          </w:r>
          <w:r>
            <w:rPr>
              <w:rFonts w:ascii="Times New Roman" w:hAnsi="Times New Roman"/>
            </w:rPr>
            <w:fldChar w:fldCharType="end"/>
          </w:r>
        </w:p>
        <w:p>
          <w:pPr>
            <w:rPr>
              <w:rFonts w:ascii="Times New Roman" w:hAnsi="Times New Roman"/>
            </w:rPr>
          </w:pPr>
          <w:r>
            <w:rPr>
              <w:rFonts w:ascii="Times New Roman" w:hAnsi="Times New Roman"/>
            </w:rPr>
            <w:fldChar w:fldCharType="end"/>
          </w:r>
        </w:p>
        <w:p>
          <w:pPr>
            <w:adjustRightInd w:val="0"/>
            <w:snapToGrid w:val="0"/>
            <w:spacing w:line="580" w:lineRule="exact"/>
          </w:pPr>
        </w:p>
      </w:sdtContent>
    </w:sdt>
    <w:p>
      <w:pPr>
        <w:adjustRightInd w:val="0"/>
        <w:snapToGrid w:val="0"/>
        <w:spacing w:line="580" w:lineRule="exact"/>
        <w:rPr>
          <w:rFonts w:ascii="Times New Roman" w:hAnsi="Times New Roman" w:eastAsia="仿宋_GB2312" w:cs="Times New Roman"/>
          <w:sz w:val="32"/>
          <w:szCs w:val="32"/>
        </w:rPr>
        <w:sectPr>
          <w:footerReference r:id="rId5" w:type="default"/>
          <w:pgSz w:w="11906" w:h="16838"/>
          <w:pgMar w:top="1440" w:right="1800" w:bottom="1440" w:left="1800" w:header="851" w:footer="992" w:gutter="0"/>
          <w:pgNumType w:fmt="numberInDash" w:start="1"/>
          <w:cols w:space="425" w:num="1"/>
          <w:docGrid w:type="lines" w:linePitch="312" w:charSpace="0"/>
        </w:sectPr>
      </w:pPr>
    </w:p>
    <w:p>
      <w:pPr>
        <w:pStyle w:val="4"/>
        <w:spacing w:line="580" w:lineRule="exact"/>
        <w:ind w:firstLine="643"/>
      </w:pPr>
      <w:bookmarkStart w:id="0" w:name="_Toc26154"/>
      <w:bookmarkStart w:id="1" w:name="_Toc31217"/>
      <w:bookmarkStart w:id="2" w:name="_Toc47622916"/>
      <w:r>
        <w:rPr>
          <w:rFonts w:hint="eastAsia"/>
        </w:rPr>
        <w:t>前言</w:t>
      </w:r>
      <w:bookmarkEnd w:id="0"/>
      <w:bookmarkEnd w:id="1"/>
    </w:p>
    <w:p>
      <w:pPr>
        <w:adjustRightInd w:val="0"/>
        <w:snapToGrid w:val="0"/>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发展新能源汽车是我国从汽车大国迈向汽车强国的必由之路，关系产业提升、能源安全、绿色发展；我国坚持</w:t>
      </w:r>
      <w:r>
        <w:rPr>
          <w:rFonts w:ascii="Times New Roman" w:hAnsi="Times New Roman" w:eastAsia="仿宋_GB2312" w:cs="Times New Roman"/>
          <w:sz w:val="32"/>
          <w:szCs w:val="32"/>
        </w:rPr>
        <w:t>纯电驱动战略取向</w:t>
      </w:r>
      <w:r>
        <w:rPr>
          <w:rFonts w:hint="eastAsia" w:ascii="Times New Roman" w:hAnsi="Times New Roman" w:eastAsia="仿宋_GB2312" w:cs="Times New Roman"/>
          <w:sz w:val="32"/>
          <w:szCs w:val="32"/>
        </w:rPr>
        <w:t>，“十三五”期间持续大力推进电动汽车发展，电动</w:t>
      </w:r>
      <w:r>
        <w:rPr>
          <w:rFonts w:ascii="Times New Roman" w:hAnsi="Times New Roman" w:eastAsia="仿宋_GB2312" w:cs="Times New Roman"/>
          <w:sz w:val="32"/>
          <w:szCs w:val="32"/>
        </w:rPr>
        <w:t>汽车产业发展取得了巨大成就，</w:t>
      </w:r>
      <w:r>
        <w:rPr>
          <w:rFonts w:hint="eastAsia" w:ascii="Times New Roman" w:hAnsi="Times New Roman" w:eastAsia="仿宋_GB2312" w:cs="Times New Roman"/>
          <w:sz w:val="32"/>
          <w:szCs w:val="32"/>
        </w:rPr>
        <w:t>技术水平显著提升、产业体系日趋完善、企业竞争力大幅增强，</w:t>
      </w:r>
      <w:r>
        <w:rPr>
          <w:rFonts w:ascii="Times New Roman" w:hAnsi="Times New Roman" w:eastAsia="仿宋_GB2312" w:cs="Times New Roman"/>
          <w:sz w:val="32"/>
          <w:szCs w:val="32"/>
        </w:rPr>
        <w:t>2015年以来产销量、保有量连续五年居世界</w:t>
      </w:r>
      <w:r>
        <w:rPr>
          <w:rFonts w:hint="eastAsia" w:ascii="Times New Roman" w:hAnsi="Times New Roman" w:eastAsia="仿宋_GB2312" w:cs="Times New Roman"/>
          <w:sz w:val="32"/>
          <w:szCs w:val="32"/>
        </w:rPr>
        <w:t>前列</w:t>
      </w:r>
      <w:r>
        <w:rPr>
          <w:rFonts w:ascii="Times New Roman" w:hAnsi="Times New Roman" w:eastAsia="仿宋_GB2312" w:cs="Times New Roman"/>
          <w:sz w:val="32"/>
          <w:szCs w:val="32"/>
        </w:rPr>
        <w:t>，产业进入叠加交汇、融合发展新阶段。</w:t>
      </w:r>
    </w:p>
    <w:p>
      <w:pPr>
        <w:adjustRightInd w:val="0"/>
        <w:snapToGrid w:val="0"/>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充电设施是电动汽车推广应用的基础和保障，“十三五”期间国家出台一系列支撑政策，有力引领充电设施行业发展，充电设施网络体系初步形成，产业生态逐渐构成，充电技术水平迅速提升，标准体系逐步完备，建成了世界上充电设施数量最多、辐射面积最大、服务车辆最全的充电设施体系。</w:t>
      </w:r>
    </w:p>
    <w:p>
      <w:pPr>
        <w:adjustRightInd w:val="0"/>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陕西省认真落实国家大力发展电动汽车的战略部署，充分发挥政策的导向作用，</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十三五</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期间出台多项重要文件明确电动汽车</w:t>
      </w:r>
      <w:r>
        <w:rPr>
          <w:rFonts w:hint="eastAsia" w:ascii="Times New Roman" w:hAnsi="Times New Roman" w:eastAsia="仿宋_GB2312" w:cs="Times New Roman"/>
          <w:sz w:val="32"/>
          <w:szCs w:val="32"/>
        </w:rPr>
        <w:t>及充电设施</w:t>
      </w:r>
      <w:r>
        <w:rPr>
          <w:rFonts w:ascii="Times New Roman" w:hAnsi="Times New Roman" w:eastAsia="仿宋_GB2312" w:cs="Times New Roman"/>
          <w:sz w:val="32"/>
          <w:szCs w:val="32"/>
        </w:rPr>
        <w:t>发展目标，制定了诸多支持政策，省内电动汽车制造实力不断增强，汽车电动化率明显提升。</w:t>
      </w:r>
    </w:p>
    <w:p>
      <w:pPr>
        <w:pStyle w:val="2"/>
        <w:ind w:firstLine="640"/>
        <w:rPr>
          <w:rFonts w:eastAsia="仿宋_GB2312"/>
        </w:rPr>
      </w:pPr>
      <w:r>
        <w:rPr>
          <w:rFonts w:hint="eastAsia" w:eastAsia="仿宋_GB2312"/>
          <w:sz w:val="32"/>
          <w:szCs w:val="32"/>
        </w:rPr>
        <w:t>“十四五”是陕西省经济发展追赶超越的关键时期，为进一步促进陕西电动汽车及充电市场的繁荣发展，陕西省发改委超前思考、积极部署，总结“十三五”发展经验，深入调研市场发展现状，组织编制了《陕西省电动汽车充电基础设施“十四五”发展规划》，提出了陕西充电设施的发展目标及重点任务，为“十四五”充电设施市场发展指明了方向，将有力推动陕西绿色低碳发展，助力“碳达峰”、“碳中和”目标早日实现。</w:t>
      </w:r>
    </w:p>
    <w:p>
      <w:pPr>
        <w:pStyle w:val="3"/>
        <w:spacing w:line="580" w:lineRule="exact"/>
        <w:ind w:firstLine="643"/>
      </w:pPr>
      <w:bookmarkStart w:id="3" w:name="_Toc31381"/>
      <w:bookmarkStart w:id="4" w:name="_Toc6884"/>
      <w:r>
        <w:rPr>
          <w:rFonts w:hint="eastAsia"/>
        </w:rPr>
        <w:t>一、电动汽车及充电设施发展现状</w:t>
      </w:r>
      <w:bookmarkEnd w:id="2"/>
      <w:bookmarkEnd w:id="3"/>
      <w:bookmarkEnd w:id="4"/>
      <w:bookmarkStart w:id="5" w:name="_Toc447114624"/>
      <w:bookmarkStart w:id="6" w:name="_Toc47622917"/>
    </w:p>
    <w:p>
      <w:pPr>
        <w:pStyle w:val="4"/>
        <w:spacing w:line="580" w:lineRule="exact"/>
        <w:ind w:firstLine="643"/>
      </w:pPr>
      <w:bookmarkStart w:id="7" w:name="_Toc1690"/>
      <w:bookmarkStart w:id="8" w:name="_Toc11243"/>
      <w:r>
        <w:t>（一）</w:t>
      </w:r>
      <w:r>
        <w:rPr>
          <w:rFonts w:hint="eastAsia"/>
        </w:rPr>
        <w:t>省内经济社会发展取得的成就</w:t>
      </w:r>
      <w:bookmarkEnd w:id="7"/>
      <w:bookmarkEnd w:id="8"/>
    </w:p>
    <w:p>
      <w:pPr>
        <w:ind w:firstLine="640" w:firstLineChars="200"/>
      </w:pPr>
      <w:r>
        <w:rPr>
          <w:rFonts w:hint="eastAsia" w:ascii="Times New Roman" w:hAnsi="Times New Roman" w:eastAsia="仿宋_GB2312" w:cs="Times New Roman"/>
          <w:sz w:val="32"/>
          <w:szCs w:val="32"/>
        </w:rPr>
        <w:t>“十三五”期间，面对错综复杂的发展环境，陕西省在以习近平同志为核心的党中央坚强领导下，坚决贯彻国家各项决策部署，着力做好稳增长、促改革、调结构、惠民生、防风险、保稳定各项工作，全面建成小康社会取得决定性成就；综合实力明显增强，经济结构持续优化，全面深化改革取得重大进展；对外开放持续扩大，发展质量和效益显著提升，省内</w:t>
      </w:r>
      <w:r>
        <w:rPr>
          <w:rFonts w:ascii="Times New Roman" w:hAnsi="Times New Roman" w:eastAsia="仿宋_GB2312" w:cs="Times New Roman"/>
          <w:sz w:val="32"/>
          <w:szCs w:val="32"/>
        </w:rPr>
        <w:t>56</w:t>
      </w:r>
      <w:r>
        <w:rPr>
          <w:rFonts w:hint="eastAsia" w:ascii="Times New Roman" w:hAnsi="Times New Roman" w:eastAsia="仿宋_GB2312" w:cs="Times New Roman"/>
          <w:sz w:val="32"/>
          <w:szCs w:val="32"/>
        </w:rPr>
        <w:t>个贫困县全部摘帽，绝对贫困问题得到历史性解决；社会建设卓有成效，城乡居民收入年均分别增长7.5</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和8.</w:t>
      </w:r>
      <w:r>
        <w:rPr>
          <w:rFonts w:ascii="Times New Roman" w:hAnsi="Times New Roman" w:eastAsia="仿宋_GB2312" w:cs="Times New Roman"/>
          <w:sz w:val="32"/>
          <w:szCs w:val="32"/>
        </w:rPr>
        <w:t>9%</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2020</w:t>
      </w:r>
      <w:r>
        <w:rPr>
          <w:rFonts w:hint="eastAsia" w:ascii="Times New Roman" w:hAnsi="Times New Roman" w:eastAsia="仿宋_GB2312" w:cs="Times New Roman"/>
          <w:sz w:val="32"/>
          <w:szCs w:val="32"/>
        </w:rPr>
        <w:t>年生产总值达</w:t>
      </w:r>
      <w:r>
        <w:rPr>
          <w:rFonts w:ascii="Times New Roman" w:hAnsi="Times New Roman" w:eastAsia="仿宋_GB2312" w:cs="Times New Roman"/>
          <w:sz w:val="32"/>
          <w:szCs w:val="32"/>
        </w:rPr>
        <w:t>2.6</w:t>
      </w:r>
      <w:r>
        <w:rPr>
          <w:rFonts w:hint="eastAsia" w:ascii="Times New Roman" w:hAnsi="Times New Roman" w:eastAsia="仿宋_GB2312" w:cs="Times New Roman"/>
          <w:sz w:val="32"/>
          <w:szCs w:val="32"/>
        </w:rPr>
        <w:t>2万亿元，较“十二五”末增长约</w:t>
      </w:r>
      <w:r>
        <w:rPr>
          <w:rFonts w:ascii="Times New Roman" w:hAnsi="Times New Roman" w:eastAsia="仿宋_GB2312" w:cs="Times New Roman"/>
          <w:sz w:val="32"/>
          <w:szCs w:val="32"/>
        </w:rPr>
        <w:t>44%</w:t>
      </w:r>
      <w:r>
        <w:rPr>
          <w:rFonts w:hint="eastAsia" w:ascii="Times New Roman" w:hAnsi="Times New Roman" w:eastAsia="仿宋_GB2312" w:cs="Times New Roman"/>
          <w:sz w:val="32"/>
          <w:szCs w:val="32"/>
        </w:rPr>
        <w:t>。截</w:t>
      </w:r>
      <w:r>
        <w:rPr>
          <w:rFonts w:hint="eastAsia" w:ascii="Times New Roman" w:hAnsi="Times New Roman" w:eastAsia="仿宋_GB2312" w:cs="Times New Roman"/>
          <w:sz w:val="32"/>
          <w:szCs w:val="32"/>
          <w:lang w:eastAsia="zh-CN"/>
        </w:rPr>
        <w:t>至</w:t>
      </w:r>
      <w:r>
        <w:rPr>
          <w:rFonts w:ascii="Times New Roman" w:hAnsi="Times New Roman" w:eastAsia="仿宋_GB2312" w:cs="Times New Roman"/>
          <w:sz w:val="32"/>
          <w:szCs w:val="32"/>
        </w:rPr>
        <w:t>2020</w:t>
      </w:r>
      <w:r>
        <w:rPr>
          <w:rFonts w:hint="eastAsia" w:ascii="Times New Roman" w:hAnsi="Times New Roman" w:eastAsia="仿宋_GB2312" w:cs="Times New Roman"/>
          <w:sz w:val="32"/>
          <w:szCs w:val="32"/>
        </w:rPr>
        <w:t>年末，全省城镇化率超过</w:t>
      </w:r>
      <w:r>
        <w:rPr>
          <w:rFonts w:ascii="Times New Roman" w:hAnsi="Times New Roman" w:eastAsia="仿宋_GB2312" w:cs="Times New Roman"/>
          <w:sz w:val="32"/>
          <w:szCs w:val="32"/>
        </w:rPr>
        <w:t>60%</w:t>
      </w:r>
      <w:r>
        <w:rPr>
          <w:rFonts w:hint="eastAsia" w:ascii="Times New Roman" w:hAnsi="Times New Roman" w:eastAsia="仿宋_GB2312" w:cs="Times New Roman"/>
          <w:sz w:val="32"/>
          <w:szCs w:val="32"/>
        </w:rPr>
        <w:t>；省内高速公路通车总里程达</w:t>
      </w:r>
      <w:r>
        <w:rPr>
          <w:rFonts w:ascii="Times New Roman" w:hAnsi="Times New Roman" w:eastAsia="仿宋_GB2312" w:cs="Times New Roman"/>
          <w:sz w:val="32"/>
          <w:szCs w:val="32"/>
        </w:rPr>
        <w:t>6171</w:t>
      </w:r>
      <w:r>
        <w:rPr>
          <w:rFonts w:hint="eastAsia" w:ascii="Times New Roman" w:hAnsi="Times New Roman" w:eastAsia="仿宋_GB2312" w:cs="Times New Roman"/>
          <w:sz w:val="32"/>
          <w:szCs w:val="32"/>
        </w:rPr>
        <w:t>千米，较“十二五”末增长约22%，实现县县通高速；全省汽车保有量为739.5万辆，较“十二五”末增长约64%。</w:t>
      </w:r>
    </w:p>
    <w:p>
      <w:pPr>
        <w:pStyle w:val="4"/>
        <w:spacing w:line="580" w:lineRule="exact"/>
        <w:ind w:firstLine="643"/>
      </w:pPr>
      <w:bookmarkStart w:id="9" w:name="_Toc30840"/>
      <w:bookmarkStart w:id="10" w:name="_Toc9941"/>
      <w:r>
        <w:t>（</w:t>
      </w:r>
      <w:r>
        <w:rPr>
          <w:rFonts w:hint="eastAsia"/>
        </w:rPr>
        <w:t>二</w:t>
      </w:r>
      <w:r>
        <w:t>）电动汽车推广应用现状</w:t>
      </w:r>
      <w:bookmarkEnd w:id="5"/>
      <w:bookmarkEnd w:id="6"/>
      <w:bookmarkEnd w:id="9"/>
      <w:bookmarkEnd w:id="10"/>
    </w:p>
    <w:p>
      <w:pPr>
        <w:pStyle w:val="2"/>
        <w:spacing w:line="580" w:lineRule="exact"/>
        <w:ind w:firstLine="640"/>
        <w:rPr>
          <w:rFonts w:eastAsia="仿宋_GB2312"/>
          <w:sz w:val="32"/>
          <w:szCs w:val="40"/>
        </w:rPr>
      </w:pPr>
      <w:r>
        <w:rPr>
          <w:rFonts w:eastAsia="仿宋_GB2312"/>
          <w:sz w:val="32"/>
          <w:szCs w:val="40"/>
        </w:rPr>
        <w:t>截至2020</w:t>
      </w:r>
      <w:r>
        <w:rPr>
          <w:rFonts w:hint="eastAsia" w:eastAsia="仿宋_GB2312"/>
          <w:sz w:val="32"/>
          <w:szCs w:val="40"/>
          <w:lang w:eastAsia="zh-CN"/>
        </w:rPr>
        <w:t>年</w:t>
      </w:r>
      <w:r>
        <w:rPr>
          <w:rFonts w:eastAsia="仿宋_GB2312"/>
          <w:sz w:val="32"/>
          <w:szCs w:val="40"/>
        </w:rPr>
        <w:t>底，全国新能源汽车保有量达492万辆</w:t>
      </w:r>
      <w:r>
        <w:rPr>
          <w:rStyle w:val="24"/>
          <w:rFonts w:eastAsia="仿宋_GB2312"/>
          <w:sz w:val="32"/>
          <w:szCs w:val="40"/>
        </w:rPr>
        <w:footnoteReference w:id="0"/>
      </w:r>
      <w:r>
        <w:rPr>
          <w:rFonts w:eastAsia="仿宋_GB2312"/>
          <w:sz w:val="32"/>
          <w:szCs w:val="40"/>
        </w:rPr>
        <w:t>，占汽车总量的1.75%</w:t>
      </w:r>
      <w:r>
        <w:rPr>
          <w:rFonts w:hint="eastAsia" w:eastAsia="仿宋_GB2312"/>
          <w:sz w:val="32"/>
          <w:szCs w:val="40"/>
        </w:rPr>
        <w:t>，</w:t>
      </w:r>
      <w:r>
        <w:rPr>
          <w:rFonts w:eastAsia="仿宋_GB2312"/>
          <w:sz w:val="32"/>
          <w:szCs w:val="40"/>
        </w:rPr>
        <w:t>基本达到</w:t>
      </w:r>
      <w:r>
        <w:rPr>
          <w:rFonts w:hint="eastAsia" w:eastAsia="仿宋_GB2312"/>
          <w:sz w:val="32"/>
          <w:szCs w:val="40"/>
        </w:rPr>
        <w:t>“</w:t>
      </w:r>
      <w:r>
        <w:rPr>
          <w:rFonts w:eastAsia="仿宋_GB2312"/>
          <w:sz w:val="32"/>
          <w:szCs w:val="40"/>
        </w:rPr>
        <w:t>十三五</w:t>
      </w:r>
      <w:r>
        <w:rPr>
          <w:rFonts w:hint="eastAsia" w:eastAsia="仿宋_GB2312"/>
          <w:sz w:val="32"/>
          <w:szCs w:val="40"/>
        </w:rPr>
        <w:t>”</w:t>
      </w:r>
      <w:r>
        <w:rPr>
          <w:rFonts w:eastAsia="仿宋_GB2312"/>
          <w:sz w:val="32"/>
          <w:szCs w:val="40"/>
        </w:rPr>
        <w:t>新能源汽车发展目标，国内电动汽车推广取得巨大成就。</w:t>
      </w:r>
    </w:p>
    <w:p>
      <w:pPr>
        <w:pStyle w:val="2"/>
        <w:spacing w:line="580" w:lineRule="exact"/>
        <w:ind w:firstLine="640"/>
        <w:rPr>
          <w:rFonts w:eastAsia="仿宋_GB2312"/>
          <w:sz w:val="32"/>
          <w:szCs w:val="40"/>
        </w:rPr>
      </w:pPr>
      <w:r>
        <w:rPr>
          <w:rFonts w:eastAsia="仿宋_GB2312"/>
          <w:sz w:val="32"/>
          <w:szCs w:val="40"/>
        </w:rPr>
        <w:t>陕西省是国内重要的电动汽车生产基地，省内比亚迪、陕汽、吉利等企业在电动汽车整车制造、动力电池等核心部件生产领域均占有重要地位，随着近年多项新能源汽车生产项目投运，省内新能源汽车生产能力将</w:t>
      </w:r>
      <w:r>
        <w:rPr>
          <w:rFonts w:hint="eastAsia" w:eastAsia="仿宋_GB2312"/>
          <w:sz w:val="32"/>
          <w:szCs w:val="40"/>
        </w:rPr>
        <w:t>大幅</w:t>
      </w:r>
      <w:r>
        <w:rPr>
          <w:rFonts w:eastAsia="仿宋_GB2312"/>
          <w:sz w:val="32"/>
          <w:szCs w:val="40"/>
        </w:rPr>
        <w:t>增强，陕西作为新能源汽车生产基地的地位更加巩固。</w:t>
      </w:r>
    </w:p>
    <w:p>
      <w:pPr>
        <w:pStyle w:val="2"/>
        <w:spacing w:line="580" w:lineRule="exact"/>
        <w:ind w:firstLine="640"/>
        <w:rPr>
          <w:rFonts w:eastAsia="仿宋_GB2312"/>
          <w:sz w:val="32"/>
          <w:szCs w:val="48"/>
        </w:rPr>
      </w:pPr>
      <w:r>
        <w:rPr>
          <w:rFonts w:hint="eastAsia" w:eastAsia="仿宋_GB2312"/>
          <w:sz w:val="32"/>
          <w:szCs w:val="40"/>
        </w:rPr>
        <w:t>“</w:t>
      </w:r>
      <w:r>
        <w:rPr>
          <w:rFonts w:eastAsia="仿宋_GB2312"/>
          <w:sz w:val="32"/>
          <w:szCs w:val="40"/>
        </w:rPr>
        <w:t>十三五</w:t>
      </w:r>
      <w:r>
        <w:rPr>
          <w:rFonts w:hint="eastAsia" w:eastAsia="仿宋_GB2312"/>
          <w:sz w:val="32"/>
          <w:szCs w:val="40"/>
        </w:rPr>
        <w:t>”</w:t>
      </w:r>
      <w:r>
        <w:rPr>
          <w:rFonts w:eastAsia="仿宋_GB2312"/>
          <w:sz w:val="32"/>
          <w:szCs w:val="40"/>
        </w:rPr>
        <w:t>以来，陕西省大力推进公交、出租、轻型物流等公共领域及私人车辆电动化，</w:t>
      </w:r>
      <w:r>
        <w:rPr>
          <w:rFonts w:hint="eastAsia" w:eastAsia="仿宋_GB2312"/>
          <w:sz w:val="32"/>
          <w:szCs w:val="40"/>
        </w:rPr>
        <w:t>截</w:t>
      </w:r>
      <w:r>
        <w:rPr>
          <w:rFonts w:hint="eastAsia" w:eastAsia="仿宋_GB2312"/>
          <w:sz w:val="32"/>
          <w:szCs w:val="40"/>
          <w:lang w:eastAsia="zh-CN"/>
        </w:rPr>
        <w:t>至</w:t>
      </w:r>
      <w:r>
        <w:rPr>
          <w:rFonts w:hint="eastAsia" w:eastAsia="仿宋_GB2312"/>
          <w:sz w:val="32"/>
          <w:szCs w:val="40"/>
        </w:rPr>
        <w:t>2020年底，</w:t>
      </w:r>
      <w:r>
        <w:rPr>
          <w:rFonts w:eastAsia="仿宋_GB2312"/>
          <w:sz w:val="32"/>
          <w:szCs w:val="48"/>
        </w:rPr>
        <w:t>全省在册电动汽车12</w:t>
      </w:r>
      <w:r>
        <w:rPr>
          <w:rFonts w:hint="eastAsia" w:eastAsia="仿宋_GB2312"/>
          <w:sz w:val="32"/>
          <w:szCs w:val="48"/>
        </w:rPr>
        <w:t>.27</w:t>
      </w:r>
      <w:r>
        <w:rPr>
          <w:rFonts w:eastAsia="仿宋_GB2312"/>
          <w:sz w:val="32"/>
          <w:szCs w:val="48"/>
        </w:rPr>
        <w:t>万辆，超额完</w:t>
      </w:r>
      <w:r>
        <w:rPr>
          <w:rFonts w:hint="eastAsia" w:ascii="仿宋_GB2312" w:eastAsia="仿宋_GB2312"/>
          <w:sz w:val="32"/>
          <w:szCs w:val="48"/>
        </w:rPr>
        <w:t>成“十三五</w:t>
      </w:r>
      <w:r>
        <w:rPr>
          <w:rFonts w:hint="eastAsia" w:eastAsia="仿宋_GB2312"/>
          <w:sz w:val="32"/>
          <w:szCs w:val="48"/>
        </w:rPr>
        <w:t>”</w:t>
      </w:r>
      <w:r>
        <w:rPr>
          <w:rFonts w:eastAsia="仿宋_GB2312"/>
          <w:sz w:val="32"/>
          <w:szCs w:val="48"/>
        </w:rPr>
        <w:t>初设定的发展目标，省内电动汽车使用迈出了从试点推广到规模化应用的关键一步。分类型来看，截</w:t>
      </w:r>
      <w:r>
        <w:rPr>
          <w:rFonts w:hint="eastAsia" w:eastAsia="仿宋_GB2312"/>
          <w:sz w:val="32"/>
          <w:szCs w:val="48"/>
          <w:lang w:eastAsia="zh-CN"/>
        </w:rPr>
        <w:t>至</w:t>
      </w:r>
      <w:r>
        <w:rPr>
          <w:rFonts w:eastAsia="仿宋_GB2312"/>
          <w:sz w:val="32"/>
          <w:szCs w:val="48"/>
        </w:rPr>
        <w:t>2020年底，电动公交车0.97</w:t>
      </w:r>
      <w:r>
        <w:rPr>
          <w:rFonts w:hint="eastAsia" w:eastAsia="仿宋_GB2312"/>
          <w:sz w:val="32"/>
          <w:szCs w:val="48"/>
        </w:rPr>
        <w:t>万辆，电动巡游出租车</w:t>
      </w:r>
      <w:r>
        <w:rPr>
          <w:rFonts w:eastAsia="仿宋_GB2312"/>
          <w:sz w:val="32"/>
          <w:szCs w:val="48"/>
        </w:rPr>
        <w:t>1.2</w:t>
      </w:r>
      <w:r>
        <w:rPr>
          <w:rFonts w:hint="eastAsia" w:eastAsia="仿宋_GB2312"/>
          <w:sz w:val="32"/>
          <w:szCs w:val="48"/>
        </w:rPr>
        <w:t>万辆，电动网约出租车</w:t>
      </w:r>
      <w:r>
        <w:rPr>
          <w:rFonts w:eastAsia="仿宋_GB2312"/>
          <w:sz w:val="32"/>
          <w:szCs w:val="48"/>
        </w:rPr>
        <w:t>1.85</w:t>
      </w:r>
      <w:r>
        <w:rPr>
          <w:rFonts w:hint="eastAsia" w:eastAsia="仿宋_GB2312"/>
          <w:sz w:val="32"/>
          <w:szCs w:val="48"/>
        </w:rPr>
        <w:t>万辆，电动轻型物流车</w:t>
      </w:r>
      <w:r>
        <w:rPr>
          <w:rFonts w:eastAsia="仿宋_GB2312"/>
          <w:sz w:val="32"/>
          <w:szCs w:val="48"/>
        </w:rPr>
        <w:t>2.1</w:t>
      </w:r>
      <w:r>
        <w:rPr>
          <w:rFonts w:hint="eastAsia" w:eastAsia="仿宋_GB2312"/>
          <w:sz w:val="32"/>
          <w:szCs w:val="48"/>
        </w:rPr>
        <w:t>万辆，电动环卫车</w:t>
      </w:r>
      <w:r>
        <w:rPr>
          <w:rFonts w:eastAsia="仿宋_GB2312"/>
          <w:sz w:val="32"/>
          <w:szCs w:val="48"/>
        </w:rPr>
        <w:t>0.05</w:t>
      </w:r>
      <w:r>
        <w:rPr>
          <w:rFonts w:hint="eastAsia" w:eastAsia="仿宋_GB2312"/>
          <w:sz w:val="32"/>
          <w:szCs w:val="48"/>
        </w:rPr>
        <w:t>万辆，电动客车</w:t>
      </w:r>
      <w:r>
        <w:rPr>
          <w:rFonts w:eastAsia="仿宋_GB2312"/>
          <w:sz w:val="32"/>
          <w:szCs w:val="48"/>
        </w:rPr>
        <w:t>0.01万辆，其它车辆0.01万辆，其余主要为电动私人及公务乘用车。</w:t>
      </w:r>
    </w:p>
    <w:p>
      <w:pPr>
        <w:pStyle w:val="2"/>
        <w:spacing w:line="580" w:lineRule="exact"/>
        <w:ind w:firstLine="640"/>
        <w:rPr>
          <w:rFonts w:eastAsia="仿宋_GB2312"/>
          <w:sz w:val="32"/>
          <w:szCs w:val="48"/>
        </w:rPr>
      </w:pPr>
      <w:r>
        <w:rPr>
          <w:rFonts w:eastAsia="仿宋_GB2312"/>
          <w:sz w:val="32"/>
          <w:szCs w:val="48"/>
        </w:rPr>
        <w:t>受相关政策推动，省会西安市公共领域车辆电动化率处于国内先进水平，截</w:t>
      </w:r>
      <w:r>
        <w:rPr>
          <w:rFonts w:hint="eastAsia" w:eastAsia="仿宋_GB2312"/>
          <w:sz w:val="32"/>
          <w:szCs w:val="48"/>
          <w:lang w:eastAsia="zh-CN"/>
        </w:rPr>
        <w:t>至</w:t>
      </w:r>
      <w:r>
        <w:rPr>
          <w:rFonts w:eastAsia="仿宋_GB2312"/>
          <w:sz w:val="32"/>
          <w:szCs w:val="48"/>
        </w:rPr>
        <w:t>2020年底</w:t>
      </w:r>
      <w:r>
        <w:rPr>
          <w:rFonts w:hint="eastAsia" w:eastAsia="仿宋_GB2312"/>
          <w:sz w:val="32"/>
          <w:szCs w:val="48"/>
        </w:rPr>
        <w:t>电动</w:t>
      </w:r>
      <w:r>
        <w:rPr>
          <w:rFonts w:eastAsia="仿宋_GB2312"/>
          <w:sz w:val="32"/>
          <w:szCs w:val="48"/>
        </w:rPr>
        <w:t>汽车保有量达10.4</w:t>
      </w:r>
      <w:r>
        <w:rPr>
          <w:rFonts w:hint="eastAsia" w:eastAsia="仿宋_GB2312"/>
          <w:sz w:val="32"/>
          <w:szCs w:val="48"/>
        </w:rPr>
        <w:t>3</w:t>
      </w:r>
      <w:r>
        <w:rPr>
          <w:rFonts w:eastAsia="仿宋_GB2312"/>
          <w:sz w:val="32"/>
          <w:szCs w:val="48"/>
        </w:rPr>
        <w:t>万辆，占</w:t>
      </w:r>
      <w:r>
        <w:rPr>
          <w:rFonts w:hint="eastAsia" w:eastAsia="仿宋_GB2312"/>
          <w:sz w:val="32"/>
          <w:szCs w:val="48"/>
        </w:rPr>
        <w:t>全省电动汽车保有量的85</w:t>
      </w:r>
      <w:r>
        <w:rPr>
          <w:rFonts w:eastAsia="仿宋_GB2312"/>
          <w:sz w:val="32"/>
          <w:szCs w:val="48"/>
        </w:rPr>
        <w:t>%</w:t>
      </w:r>
      <w:r>
        <w:rPr>
          <w:rFonts w:hint="eastAsia" w:eastAsia="仿宋_GB2312"/>
          <w:sz w:val="32"/>
          <w:szCs w:val="48"/>
        </w:rPr>
        <w:t>；</w:t>
      </w:r>
      <w:r>
        <w:rPr>
          <w:rFonts w:eastAsia="仿宋_GB2312"/>
          <w:sz w:val="32"/>
          <w:szCs w:val="48"/>
        </w:rPr>
        <w:t>其他地市</w:t>
      </w:r>
      <w:r>
        <w:rPr>
          <w:rFonts w:hint="eastAsia" w:eastAsia="仿宋_GB2312"/>
          <w:sz w:val="32"/>
          <w:szCs w:val="48"/>
        </w:rPr>
        <w:t>积极通过</w:t>
      </w:r>
      <w:r>
        <w:rPr>
          <w:rFonts w:eastAsia="仿宋_GB2312"/>
          <w:sz w:val="32"/>
          <w:szCs w:val="48"/>
        </w:rPr>
        <w:t>公共领域</w:t>
      </w:r>
      <w:r>
        <w:rPr>
          <w:rFonts w:hint="eastAsia" w:eastAsia="仿宋_GB2312"/>
          <w:sz w:val="32"/>
          <w:szCs w:val="48"/>
        </w:rPr>
        <w:t>应用带动区域内电动汽车推广</w:t>
      </w:r>
      <w:r>
        <w:rPr>
          <w:rFonts w:eastAsia="仿宋_GB2312"/>
          <w:sz w:val="32"/>
          <w:szCs w:val="48"/>
        </w:rPr>
        <w:t>，</w:t>
      </w:r>
      <w:r>
        <w:rPr>
          <w:rFonts w:hint="eastAsia" w:eastAsia="仿宋_GB2312"/>
          <w:sz w:val="32"/>
          <w:szCs w:val="48"/>
        </w:rPr>
        <w:t>取得了良好的示范效果</w:t>
      </w:r>
      <w:r>
        <w:rPr>
          <w:rFonts w:eastAsia="仿宋_GB2312"/>
          <w:sz w:val="32"/>
          <w:szCs w:val="48"/>
        </w:rPr>
        <w:t>。</w:t>
      </w:r>
    </w:p>
    <w:p>
      <w:pPr>
        <w:pStyle w:val="2"/>
        <w:spacing w:beforeLines="50" w:line="580" w:lineRule="exact"/>
        <w:ind w:firstLine="482" w:firstLineChars="0"/>
        <w:jc w:val="center"/>
        <w:rPr>
          <w:rFonts w:asciiTheme="minorEastAsia" w:hAnsiTheme="minorEastAsia" w:eastAsiaTheme="minorEastAsia"/>
          <w:b/>
          <w:sz w:val="24"/>
          <w:szCs w:val="48"/>
        </w:rPr>
      </w:pPr>
      <w:r>
        <w:rPr>
          <w:rFonts w:hint="eastAsia" w:ascii="仿宋_GB2312" w:eastAsia="仿宋_GB2312" w:hAnsiTheme="minorEastAsia"/>
          <w:b/>
          <w:sz w:val="24"/>
          <w:szCs w:val="48"/>
        </w:rPr>
        <w:t>表</w:t>
      </w:r>
      <w:r>
        <w:rPr>
          <w:rFonts w:eastAsia="仿宋_GB2312"/>
          <w:b/>
          <w:sz w:val="24"/>
          <w:szCs w:val="48"/>
        </w:rPr>
        <w:t>1</w:t>
      </w:r>
      <w:r>
        <w:rPr>
          <w:rFonts w:hint="eastAsia" w:ascii="仿宋_GB2312" w:eastAsia="仿宋_GB2312" w:hAnsiTheme="minorEastAsia"/>
          <w:b/>
          <w:sz w:val="24"/>
          <w:szCs w:val="48"/>
        </w:rPr>
        <w:t xml:space="preserve">  省内电动汽车保有量及渗透率现状</w:t>
      </w:r>
      <w:r>
        <w:rPr>
          <w:rStyle w:val="24"/>
          <w:rFonts w:eastAsiaTheme="minorEastAsia"/>
          <w:b/>
          <w:sz w:val="24"/>
          <w:szCs w:val="48"/>
        </w:rPr>
        <w:footnoteReference w:id="1"/>
      </w:r>
    </w:p>
    <w:tbl>
      <w:tblPr>
        <w:tblStyle w:val="18"/>
        <w:tblW w:w="75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6"/>
        <w:gridCol w:w="576"/>
        <w:gridCol w:w="666"/>
        <w:gridCol w:w="966"/>
        <w:gridCol w:w="666"/>
        <w:gridCol w:w="966"/>
        <w:gridCol w:w="666"/>
        <w:gridCol w:w="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26" w:type="dxa"/>
            <w:vAlign w:val="center"/>
          </w:tcPr>
          <w:p>
            <w:pPr>
              <w:pStyle w:val="2"/>
              <w:spacing w:line="300" w:lineRule="exact"/>
              <w:ind w:firstLine="0" w:firstLineChars="0"/>
              <w:jc w:val="center"/>
              <w:rPr>
                <w:rFonts w:eastAsia="仿宋"/>
                <w:sz w:val="15"/>
                <w:szCs w:val="48"/>
              </w:rPr>
            </w:pPr>
            <w:r>
              <w:rPr>
                <w:rFonts w:hint="eastAsia" w:eastAsia="仿宋"/>
                <w:sz w:val="18"/>
                <w:szCs w:val="48"/>
              </w:rPr>
              <w:t>车辆类型</w:t>
            </w:r>
          </w:p>
        </w:tc>
        <w:tc>
          <w:tcPr>
            <w:tcW w:w="576" w:type="dxa"/>
            <w:vAlign w:val="center"/>
          </w:tcPr>
          <w:p>
            <w:pPr>
              <w:pStyle w:val="2"/>
              <w:spacing w:line="300" w:lineRule="exact"/>
              <w:ind w:firstLine="0" w:firstLineChars="0"/>
              <w:jc w:val="center"/>
              <w:rPr>
                <w:rFonts w:eastAsia="仿宋"/>
                <w:sz w:val="15"/>
                <w:szCs w:val="48"/>
              </w:rPr>
            </w:pPr>
            <w:r>
              <w:rPr>
                <w:rFonts w:hint="eastAsia" w:eastAsia="仿宋"/>
                <w:sz w:val="15"/>
                <w:szCs w:val="48"/>
              </w:rPr>
              <w:t>合计</w:t>
            </w:r>
          </w:p>
        </w:tc>
        <w:tc>
          <w:tcPr>
            <w:tcW w:w="666" w:type="dxa"/>
            <w:vAlign w:val="center"/>
          </w:tcPr>
          <w:p>
            <w:pPr>
              <w:pStyle w:val="2"/>
              <w:spacing w:line="300" w:lineRule="exact"/>
              <w:ind w:firstLine="0" w:firstLineChars="0"/>
              <w:jc w:val="center"/>
              <w:rPr>
                <w:rFonts w:eastAsia="仿宋"/>
                <w:sz w:val="15"/>
                <w:szCs w:val="48"/>
              </w:rPr>
            </w:pPr>
            <w:r>
              <w:rPr>
                <w:rFonts w:hint="eastAsia" w:eastAsia="仿宋"/>
                <w:sz w:val="15"/>
                <w:szCs w:val="48"/>
              </w:rPr>
              <w:t>公交车</w:t>
            </w:r>
          </w:p>
        </w:tc>
        <w:tc>
          <w:tcPr>
            <w:tcW w:w="966" w:type="dxa"/>
            <w:vAlign w:val="center"/>
          </w:tcPr>
          <w:p>
            <w:pPr>
              <w:pStyle w:val="2"/>
              <w:spacing w:line="300" w:lineRule="exact"/>
              <w:ind w:firstLine="0" w:firstLineChars="0"/>
              <w:jc w:val="center"/>
              <w:rPr>
                <w:rFonts w:eastAsia="仿宋"/>
                <w:sz w:val="15"/>
                <w:szCs w:val="48"/>
              </w:rPr>
            </w:pPr>
            <w:r>
              <w:rPr>
                <w:rFonts w:hint="eastAsia" w:eastAsia="仿宋"/>
                <w:sz w:val="15"/>
                <w:szCs w:val="48"/>
              </w:rPr>
              <w:t>巡游出租车</w:t>
            </w:r>
          </w:p>
        </w:tc>
        <w:tc>
          <w:tcPr>
            <w:tcW w:w="666" w:type="dxa"/>
            <w:vAlign w:val="center"/>
          </w:tcPr>
          <w:p>
            <w:pPr>
              <w:pStyle w:val="2"/>
              <w:spacing w:line="300" w:lineRule="exact"/>
              <w:ind w:firstLine="0" w:firstLineChars="0"/>
              <w:jc w:val="center"/>
              <w:rPr>
                <w:rFonts w:eastAsia="仿宋"/>
                <w:sz w:val="15"/>
                <w:szCs w:val="48"/>
              </w:rPr>
            </w:pPr>
            <w:r>
              <w:rPr>
                <w:rFonts w:hint="eastAsia" w:eastAsia="仿宋"/>
                <w:sz w:val="15"/>
                <w:szCs w:val="48"/>
              </w:rPr>
              <w:t>环卫车</w:t>
            </w:r>
          </w:p>
        </w:tc>
        <w:tc>
          <w:tcPr>
            <w:tcW w:w="966" w:type="dxa"/>
            <w:vAlign w:val="center"/>
          </w:tcPr>
          <w:p>
            <w:pPr>
              <w:pStyle w:val="2"/>
              <w:spacing w:line="300" w:lineRule="exact"/>
              <w:ind w:firstLine="0" w:firstLineChars="0"/>
              <w:jc w:val="center"/>
              <w:rPr>
                <w:rFonts w:eastAsia="仿宋"/>
                <w:sz w:val="15"/>
                <w:szCs w:val="48"/>
              </w:rPr>
            </w:pPr>
            <w:r>
              <w:rPr>
                <w:rFonts w:hint="eastAsia" w:eastAsia="仿宋"/>
                <w:sz w:val="15"/>
                <w:szCs w:val="48"/>
              </w:rPr>
              <w:t>网约出租车</w:t>
            </w:r>
          </w:p>
        </w:tc>
        <w:tc>
          <w:tcPr>
            <w:tcW w:w="666" w:type="dxa"/>
            <w:vAlign w:val="center"/>
          </w:tcPr>
          <w:p>
            <w:pPr>
              <w:pStyle w:val="2"/>
              <w:spacing w:line="300" w:lineRule="exact"/>
              <w:ind w:firstLine="0" w:firstLineChars="0"/>
              <w:jc w:val="center"/>
              <w:rPr>
                <w:rFonts w:eastAsia="仿宋"/>
                <w:sz w:val="15"/>
                <w:szCs w:val="48"/>
              </w:rPr>
            </w:pPr>
            <w:r>
              <w:rPr>
                <w:rFonts w:hint="eastAsia" w:eastAsia="仿宋"/>
                <w:sz w:val="15"/>
                <w:szCs w:val="48"/>
              </w:rPr>
              <w:t>私家车</w:t>
            </w:r>
          </w:p>
        </w:tc>
        <w:tc>
          <w:tcPr>
            <w:tcW w:w="516" w:type="dxa"/>
            <w:vAlign w:val="center"/>
          </w:tcPr>
          <w:p>
            <w:pPr>
              <w:pStyle w:val="2"/>
              <w:spacing w:line="300" w:lineRule="exact"/>
              <w:ind w:firstLine="0" w:firstLineChars="0"/>
              <w:jc w:val="center"/>
              <w:rPr>
                <w:rFonts w:eastAsia="仿宋"/>
                <w:sz w:val="15"/>
                <w:szCs w:val="48"/>
              </w:rPr>
            </w:pPr>
            <w:r>
              <w:rPr>
                <w:rFonts w:hint="eastAsia" w:eastAsia="仿宋"/>
                <w:sz w:val="15"/>
                <w:szCs w:val="48"/>
              </w:rPr>
              <w:t>客车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26" w:type="dxa"/>
            <w:vAlign w:val="center"/>
          </w:tcPr>
          <w:p>
            <w:pPr>
              <w:pStyle w:val="2"/>
              <w:spacing w:line="300" w:lineRule="exact"/>
              <w:ind w:firstLine="0" w:firstLineChars="0"/>
              <w:jc w:val="center"/>
              <w:rPr>
                <w:rFonts w:eastAsia="仿宋"/>
                <w:sz w:val="18"/>
                <w:szCs w:val="48"/>
              </w:rPr>
            </w:pPr>
            <w:r>
              <w:rPr>
                <w:rFonts w:hint="eastAsia" w:eastAsia="仿宋"/>
                <w:sz w:val="18"/>
                <w:szCs w:val="48"/>
              </w:rPr>
              <w:t>电动汽车保有量（万辆）</w:t>
            </w:r>
          </w:p>
        </w:tc>
        <w:tc>
          <w:tcPr>
            <w:tcW w:w="576" w:type="dxa"/>
            <w:vAlign w:val="center"/>
          </w:tcPr>
          <w:p>
            <w:pPr>
              <w:pStyle w:val="2"/>
              <w:spacing w:line="300" w:lineRule="exact"/>
              <w:ind w:firstLine="0" w:firstLineChars="0"/>
              <w:jc w:val="center"/>
              <w:rPr>
                <w:rFonts w:eastAsia="仿宋"/>
                <w:sz w:val="16"/>
                <w:szCs w:val="48"/>
              </w:rPr>
            </w:pPr>
            <w:r>
              <w:rPr>
                <w:rFonts w:eastAsia="仿宋"/>
                <w:sz w:val="16"/>
                <w:szCs w:val="48"/>
              </w:rPr>
              <w:t>12</w:t>
            </w:r>
            <w:r>
              <w:rPr>
                <w:rFonts w:hint="eastAsia" w:eastAsia="仿宋"/>
                <w:sz w:val="16"/>
                <w:szCs w:val="48"/>
              </w:rPr>
              <w:t>.27</w:t>
            </w:r>
          </w:p>
        </w:tc>
        <w:tc>
          <w:tcPr>
            <w:tcW w:w="666" w:type="dxa"/>
            <w:vAlign w:val="center"/>
          </w:tcPr>
          <w:p>
            <w:pPr>
              <w:pStyle w:val="2"/>
              <w:spacing w:line="300" w:lineRule="exact"/>
              <w:ind w:firstLine="0" w:firstLineChars="0"/>
              <w:jc w:val="center"/>
              <w:rPr>
                <w:rFonts w:eastAsia="仿宋"/>
                <w:sz w:val="16"/>
                <w:szCs w:val="48"/>
              </w:rPr>
            </w:pPr>
            <w:r>
              <w:rPr>
                <w:rFonts w:eastAsia="仿宋"/>
                <w:sz w:val="16"/>
                <w:szCs w:val="48"/>
              </w:rPr>
              <w:t>0.</w:t>
            </w:r>
            <w:r>
              <w:rPr>
                <w:rFonts w:hint="eastAsia" w:eastAsia="仿宋"/>
                <w:sz w:val="16"/>
                <w:szCs w:val="48"/>
              </w:rPr>
              <w:t>97</w:t>
            </w:r>
          </w:p>
        </w:tc>
        <w:tc>
          <w:tcPr>
            <w:tcW w:w="966" w:type="dxa"/>
            <w:vAlign w:val="center"/>
          </w:tcPr>
          <w:p>
            <w:pPr>
              <w:pStyle w:val="2"/>
              <w:spacing w:line="300" w:lineRule="exact"/>
              <w:ind w:firstLine="0" w:firstLineChars="0"/>
              <w:jc w:val="center"/>
              <w:rPr>
                <w:rFonts w:eastAsia="仿宋"/>
                <w:sz w:val="16"/>
                <w:szCs w:val="48"/>
              </w:rPr>
            </w:pPr>
            <w:r>
              <w:rPr>
                <w:rFonts w:eastAsia="仿宋"/>
                <w:sz w:val="16"/>
                <w:szCs w:val="48"/>
              </w:rPr>
              <w:t>1.2</w:t>
            </w:r>
          </w:p>
        </w:tc>
        <w:tc>
          <w:tcPr>
            <w:tcW w:w="666" w:type="dxa"/>
            <w:vAlign w:val="center"/>
          </w:tcPr>
          <w:p>
            <w:pPr>
              <w:pStyle w:val="2"/>
              <w:spacing w:line="300" w:lineRule="exact"/>
              <w:ind w:firstLine="0" w:firstLineChars="0"/>
              <w:jc w:val="center"/>
              <w:rPr>
                <w:rFonts w:eastAsia="仿宋"/>
                <w:sz w:val="16"/>
                <w:szCs w:val="48"/>
              </w:rPr>
            </w:pPr>
            <w:r>
              <w:rPr>
                <w:rFonts w:eastAsia="仿宋"/>
                <w:sz w:val="16"/>
                <w:szCs w:val="48"/>
              </w:rPr>
              <w:t>0.05</w:t>
            </w:r>
          </w:p>
        </w:tc>
        <w:tc>
          <w:tcPr>
            <w:tcW w:w="966" w:type="dxa"/>
            <w:vAlign w:val="center"/>
          </w:tcPr>
          <w:p>
            <w:pPr>
              <w:pStyle w:val="2"/>
              <w:spacing w:line="300" w:lineRule="exact"/>
              <w:ind w:firstLine="0" w:firstLineChars="0"/>
              <w:jc w:val="center"/>
              <w:rPr>
                <w:rFonts w:eastAsia="仿宋"/>
                <w:sz w:val="16"/>
                <w:szCs w:val="48"/>
              </w:rPr>
            </w:pPr>
            <w:r>
              <w:rPr>
                <w:rFonts w:eastAsia="仿宋"/>
                <w:sz w:val="16"/>
                <w:szCs w:val="48"/>
              </w:rPr>
              <w:t>1.85</w:t>
            </w:r>
          </w:p>
        </w:tc>
        <w:tc>
          <w:tcPr>
            <w:tcW w:w="666" w:type="dxa"/>
            <w:vAlign w:val="center"/>
          </w:tcPr>
          <w:p>
            <w:pPr>
              <w:pStyle w:val="2"/>
              <w:spacing w:line="300" w:lineRule="exact"/>
              <w:ind w:firstLine="0" w:firstLineChars="0"/>
              <w:jc w:val="center"/>
              <w:rPr>
                <w:rFonts w:eastAsia="仿宋"/>
                <w:sz w:val="16"/>
                <w:szCs w:val="48"/>
              </w:rPr>
            </w:pPr>
            <w:r>
              <w:rPr>
                <w:rFonts w:eastAsia="仿宋"/>
                <w:sz w:val="16"/>
                <w:szCs w:val="48"/>
              </w:rPr>
              <w:t>6.</w:t>
            </w:r>
            <w:r>
              <w:rPr>
                <w:rFonts w:hint="eastAsia" w:eastAsia="仿宋"/>
                <w:sz w:val="16"/>
                <w:szCs w:val="48"/>
              </w:rPr>
              <w:t>33</w:t>
            </w:r>
          </w:p>
        </w:tc>
        <w:tc>
          <w:tcPr>
            <w:tcW w:w="516" w:type="dxa"/>
            <w:vAlign w:val="center"/>
          </w:tcPr>
          <w:p>
            <w:pPr>
              <w:pStyle w:val="2"/>
              <w:spacing w:line="300" w:lineRule="exact"/>
              <w:ind w:firstLine="0" w:firstLineChars="0"/>
              <w:jc w:val="center"/>
              <w:rPr>
                <w:rFonts w:eastAsia="仿宋"/>
                <w:sz w:val="16"/>
                <w:szCs w:val="48"/>
              </w:rPr>
            </w:pPr>
            <w:r>
              <w:rPr>
                <w:rFonts w:hint="eastAsia" w:eastAsia="仿宋"/>
                <w:sz w:val="16"/>
                <w:szCs w:val="48"/>
              </w:rPr>
              <w:t>0</w:t>
            </w:r>
            <w:r>
              <w:rPr>
                <w:rFonts w:eastAsia="仿宋"/>
                <w:sz w:val="16"/>
                <w:szCs w:val="48"/>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26" w:type="dxa"/>
            <w:vAlign w:val="center"/>
          </w:tcPr>
          <w:p>
            <w:pPr>
              <w:pStyle w:val="2"/>
              <w:spacing w:line="300" w:lineRule="exact"/>
              <w:ind w:firstLine="0" w:firstLineChars="0"/>
              <w:jc w:val="center"/>
              <w:rPr>
                <w:rFonts w:eastAsia="仿宋"/>
                <w:sz w:val="18"/>
                <w:szCs w:val="48"/>
              </w:rPr>
            </w:pPr>
            <w:r>
              <w:rPr>
                <w:rFonts w:hint="eastAsia" w:eastAsia="仿宋"/>
                <w:sz w:val="18"/>
                <w:szCs w:val="48"/>
              </w:rPr>
              <w:t>汽车保有量（万辆）</w:t>
            </w:r>
          </w:p>
        </w:tc>
        <w:tc>
          <w:tcPr>
            <w:tcW w:w="576" w:type="dxa"/>
            <w:vAlign w:val="center"/>
          </w:tcPr>
          <w:p>
            <w:pPr>
              <w:pStyle w:val="2"/>
              <w:spacing w:line="300" w:lineRule="exact"/>
              <w:ind w:firstLine="0" w:firstLineChars="0"/>
              <w:jc w:val="center"/>
              <w:rPr>
                <w:rFonts w:eastAsia="仿宋"/>
                <w:sz w:val="16"/>
                <w:szCs w:val="48"/>
              </w:rPr>
            </w:pPr>
            <w:r>
              <w:rPr>
                <w:rFonts w:hint="eastAsia" w:eastAsia="仿宋"/>
                <w:sz w:val="16"/>
                <w:szCs w:val="48"/>
              </w:rPr>
              <w:t>739</w:t>
            </w:r>
            <w:r>
              <w:rPr>
                <w:rStyle w:val="24"/>
                <w:rFonts w:eastAsia="仿宋"/>
                <w:sz w:val="16"/>
                <w:szCs w:val="48"/>
              </w:rPr>
              <w:footnoteReference w:id="2"/>
            </w:r>
          </w:p>
        </w:tc>
        <w:tc>
          <w:tcPr>
            <w:tcW w:w="666" w:type="dxa"/>
            <w:vAlign w:val="center"/>
          </w:tcPr>
          <w:p>
            <w:pPr>
              <w:pStyle w:val="2"/>
              <w:spacing w:line="300" w:lineRule="exact"/>
              <w:ind w:firstLine="0" w:firstLineChars="0"/>
              <w:jc w:val="center"/>
              <w:rPr>
                <w:rFonts w:eastAsia="仿宋"/>
                <w:sz w:val="16"/>
                <w:szCs w:val="48"/>
              </w:rPr>
            </w:pPr>
            <w:r>
              <w:rPr>
                <w:rFonts w:eastAsia="仿宋"/>
                <w:sz w:val="16"/>
                <w:szCs w:val="48"/>
              </w:rPr>
              <w:t>1.8</w:t>
            </w:r>
          </w:p>
        </w:tc>
        <w:tc>
          <w:tcPr>
            <w:tcW w:w="966" w:type="dxa"/>
            <w:vAlign w:val="center"/>
          </w:tcPr>
          <w:p>
            <w:pPr>
              <w:pStyle w:val="2"/>
              <w:spacing w:line="300" w:lineRule="exact"/>
              <w:ind w:firstLine="0" w:firstLineChars="0"/>
              <w:jc w:val="center"/>
              <w:rPr>
                <w:rFonts w:eastAsia="仿宋"/>
                <w:sz w:val="16"/>
                <w:szCs w:val="48"/>
              </w:rPr>
            </w:pPr>
            <w:r>
              <w:rPr>
                <w:rFonts w:eastAsia="仿宋"/>
                <w:sz w:val="16"/>
                <w:szCs w:val="48"/>
              </w:rPr>
              <w:t>4.</w:t>
            </w:r>
          </w:p>
        </w:tc>
        <w:tc>
          <w:tcPr>
            <w:tcW w:w="666" w:type="dxa"/>
            <w:vAlign w:val="center"/>
          </w:tcPr>
          <w:p>
            <w:pPr>
              <w:pStyle w:val="2"/>
              <w:spacing w:line="300" w:lineRule="exact"/>
              <w:ind w:firstLine="0" w:firstLineChars="0"/>
              <w:jc w:val="center"/>
              <w:rPr>
                <w:rFonts w:eastAsia="仿宋"/>
                <w:sz w:val="16"/>
                <w:szCs w:val="48"/>
              </w:rPr>
            </w:pPr>
            <w:r>
              <w:rPr>
                <w:rFonts w:eastAsia="仿宋"/>
                <w:sz w:val="16"/>
                <w:szCs w:val="48"/>
              </w:rPr>
              <w:t>0.58</w:t>
            </w:r>
          </w:p>
        </w:tc>
        <w:tc>
          <w:tcPr>
            <w:tcW w:w="966" w:type="dxa"/>
            <w:vAlign w:val="center"/>
          </w:tcPr>
          <w:p>
            <w:pPr>
              <w:pStyle w:val="2"/>
              <w:spacing w:line="300" w:lineRule="exact"/>
              <w:ind w:firstLine="0" w:firstLineChars="0"/>
              <w:jc w:val="center"/>
              <w:rPr>
                <w:rFonts w:eastAsia="仿宋"/>
                <w:sz w:val="16"/>
                <w:szCs w:val="48"/>
              </w:rPr>
            </w:pPr>
            <w:r>
              <w:rPr>
                <w:rFonts w:eastAsia="仿宋"/>
                <w:sz w:val="16"/>
                <w:szCs w:val="48"/>
              </w:rPr>
              <w:t>3</w:t>
            </w:r>
          </w:p>
        </w:tc>
        <w:tc>
          <w:tcPr>
            <w:tcW w:w="666" w:type="dxa"/>
            <w:vAlign w:val="center"/>
          </w:tcPr>
          <w:p>
            <w:pPr>
              <w:pStyle w:val="2"/>
              <w:spacing w:line="300" w:lineRule="exact"/>
              <w:ind w:firstLine="0" w:firstLineChars="0"/>
              <w:jc w:val="center"/>
              <w:rPr>
                <w:rFonts w:eastAsia="仿宋"/>
                <w:sz w:val="16"/>
                <w:szCs w:val="48"/>
              </w:rPr>
            </w:pPr>
            <w:r>
              <w:rPr>
                <w:rFonts w:eastAsia="仿宋"/>
                <w:sz w:val="16"/>
                <w:szCs w:val="48"/>
              </w:rPr>
              <w:t>570</w:t>
            </w:r>
          </w:p>
        </w:tc>
        <w:tc>
          <w:tcPr>
            <w:tcW w:w="516" w:type="dxa"/>
            <w:vAlign w:val="center"/>
          </w:tcPr>
          <w:p>
            <w:pPr>
              <w:pStyle w:val="2"/>
              <w:spacing w:line="300" w:lineRule="exact"/>
              <w:ind w:firstLine="0" w:firstLineChars="0"/>
              <w:jc w:val="center"/>
              <w:rPr>
                <w:rFonts w:eastAsia="仿宋"/>
                <w:sz w:val="16"/>
                <w:szCs w:val="48"/>
              </w:rPr>
            </w:pPr>
            <w:r>
              <w:rPr>
                <w:rFonts w:hint="eastAsia" w:eastAsia="仿宋"/>
                <w:sz w:val="16"/>
                <w:szCs w:val="48"/>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26" w:type="dxa"/>
            <w:vAlign w:val="center"/>
          </w:tcPr>
          <w:p>
            <w:pPr>
              <w:pStyle w:val="2"/>
              <w:spacing w:line="300" w:lineRule="exact"/>
              <w:ind w:firstLine="0" w:firstLineChars="0"/>
              <w:jc w:val="center"/>
              <w:rPr>
                <w:rFonts w:eastAsia="仿宋"/>
                <w:sz w:val="18"/>
                <w:szCs w:val="48"/>
              </w:rPr>
            </w:pPr>
            <w:r>
              <w:rPr>
                <w:rFonts w:hint="eastAsia" w:eastAsia="仿宋"/>
                <w:sz w:val="18"/>
                <w:szCs w:val="48"/>
              </w:rPr>
              <w:t>电动汽车保有量渗透率（</w:t>
            </w:r>
            <w:r>
              <w:rPr>
                <w:rFonts w:eastAsia="仿宋"/>
                <w:sz w:val="18"/>
                <w:szCs w:val="48"/>
              </w:rPr>
              <w:t>%</w:t>
            </w:r>
            <w:r>
              <w:rPr>
                <w:rFonts w:hint="eastAsia" w:eastAsia="仿宋"/>
                <w:sz w:val="18"/>
                <w:szCs w:val="48"/>
              </w:rPr>
              <w:t>）</w:t>
            </w:r>
          </w:p>
        </w:tc>
        <w:tc>
          <w:tcPr>
            <w:tcW w:w="576" w:type="dxa"/>
            <w:vAlign w:val="center"/>
          </w:tcPr>
          <w:p>
            <w:pPr>
              <w:pStyle w:val="2"/>
              <w:spacing w:line="300" w:lineRule="exact"/>
              <w:ind w:firstLine="0" w:firstLineChars="0"/>
              <w:jc w:val="center"/>
              <w:rPr>
                <w:rFonts w:eastAsia="仿宋"/>
                <w:sz w:val="16"/>
                <w:szCs w:val="48"/>
              </w:rPr>
            </w:pPr>
            <w:r>
              <w:rPr>
                <w:rFonts w:eastAsia="仿宋"/>
                <w:sz w:val="16"/>
                <w:szCs w:val="48"/>
              </w:rPr>
              <w:t>1</w:t>
            </w:r>
            <w:r>
              <w:rPr>
                <w:rFonts w:hint="eastAsia" w:eastAsia="仿宋"/>
                <w:sz w:val="16"/>
                <w:szCs w:val="48"/>
              </w:rPr>
              <w:t>.66</w:t>
            </w:r>
          </w:p>
        </w:tc>
        <w:tc>
          <w:tcPr>
            <w:tcW w:w="666" w:type="dxa"/>
            <w:vAlign w:val="center"/>
          </w:tcPr>
          <w:p>
            <w:pPr>
              <w:pStyle w:val="2"/>
              <w:spacing w:line="300" w:lineRule="exact"/>
              <w:ind w:firstLine="0" w:firstLineChars="0"/>
              <w:jc w:val="center"/>
              <w:rPr>
                <w:rFonts w:eastAsia="仿宋"/>
                <w:sz w:val="16"/>
                <w:szCs w:val="48"/>
              </w:rPr>
            </w:pPr>
            <w:r>
              <w:rPr>
                <w:rFonts w:hint="eastAsia" w:eastAsia="仿宋"/>
                <w:sz w:val="16"/>
                <w:szCs w:val="48"/>
              </w:rPr>
              <w:t>53.9</w:t>
            </w:r>
          </w:p>
        </w:tc>
        <w:tc>
          <w:tcPr>
            <w:tcW w:w="966" w:type="dxa"/>
            <w:vAlign w:val="center"/>
          </w:tcPr>
          <w:p>
            <w:pPr>
              <w:pStyle w:val="2"/>
              <w:spacing w:line="300" w:lineRule="exact"/>
              <w:ind w:firstLine="0" w:firstLineChars="0"/>
              <w:jc w:val="center"/>
              <w:rPr>
                <w:rFonts w:eastAsia="仿宋"/>
                <w:sz w:val="16"/>
                <w:szCs w:val="48"/>
              </w:rPr>
            </w:pPr>
            <w:r>
              <w:rPr>
                <w:rFonts w:eastAsia="仿宋"/>
                <w:sz w:val="16"/>
                <w:szCs w:val="48"/>
              </w:rPr>
              <w:t>30</w:t>
            </w:r>
          </w:p>
        </w:tc>
        <w:tc>
          <w:tcPr>
            <w:tcW w:w="666" w:type="dxa"/>
            <w:vAlign w:val="center"/>
          </w:tcPr>
          <w:p>
            <w:pPr>
              <w:pStyle w:val="2"/>
              <w:spacing w:line="300" w:lineRule="exact"/>
              <w:ind w:firstLine="0" w:firstLineChars="0"/>
              <w:jc w:val="center"/>
              <w:rPr>
                <w:rFonts w:eastAsia="仿宋"/>
                <w:sz w:val="16"/>
                <w:szCs w:val="48"/>
              </w:rPr>
            </w:pPr>
            <w:r>
              <w:rPr>
                <w:rFonts w:eastAsia="仿宋"/>
                <w:sz w:val="16"/>
                <w:szCs w:val="48"/>
              </w:rPr>
              <w:t>8.6</w:t>
            </w:r>
          </w:p>
        </w:tc>
        <w:tc>
          <w:tcPr>
            <w:tcW w:w="966" w:type="dxa"/>
            <w:vAlign w:val="center"/>
          </w:tcPr>
          <w:p>
            <w:pPr>
              <w:pStyle w:val="2"/>
              <w:spacing w:line="300" w:lineRule="exact"/>
              <w:ind w:firstLine="0" w:firstLineChars="0"/>
              <w:jc w:val="center"/>
              <w:rPr>
                <w:rFonts w:eastAsia="仿宋"/>
                <w:sz w:val="16"/>
                <w:szCs w:val="48"/>
              </w:rPr>
            </w:pPr>
            <w:r>
              <w:rPr>
                <w:rFonts w:eastAsia="仿宋"/>
                <w:sz w:val="16"/>
                <w:szCs w:val="48"/>
              </w:rPr>
              <w:t>61.7</w:t>
            </w:r>
          </w:p>
        </w:tc>
        <w:tc>
          <w:tcPr>
            <w:tcW w:w="666" w:type="dxa"/>
            <w:vAlign w:val="center"/>
          </w:tcPr>
          <w:p>
            <w:pPr>
              <w:pStyle w:val="2"/>
              <w:spacing w:line="300" w:lineRule="exact"/>
              <w:ind w:firstLine="0" w:firstLineChars="0"/>
              <w:jc w:val="center"/>
              <w:rPr>
                <w:rFonts w:eastAsia="仿宋"/>
                <w:sz w:val="16"/>
                <w:szCs w:val="48"/>
              </w:rPr>
            </w:pPr>
            <w:r>
              <w:rPr>
                <w:rFonts w:eastAsia="仿宋"/>
                <w:sz w:val="16"/>
                <w:szCs w:val="48"/>
              </w:rPr>
              <w:t>0.8</w:t>
            </w:r>
          </w:p>
        </w:tc>
        <w:tc>
          <w:tcPr>
            <w:tcW w:w="516" w:type="dxa"/>
            <w:vAlign w:val="center"/>
          </w:tcPr>
          <w:p>
            <w:pPr>
              <w:pStyle w:val="2"/>
              <w:spacing w:line="300" w:lineRule="exact"/>
              <w:ind w:firstLine="0" w:firstLineChars="0"/>
              <w:jc w:val="center"/>
              <w:rPr>
                <w:rFonts w:eastAsia="仿宋"/>
                <w:sz w:val="16"/>
                <w:szCs w:val="48"/>
              </w:rPr>
            </w:pPr>
            <w:r>
              <w:rPr>
                <w:rFonts w:hint="eastAsia" w:eastAsia="仿宋"/>
                <w:sz w:val="16"/>
                <w:szCs w:val="48"/>
              </w:rPr>
              <w:t>0.48</w:t>
            </w:r>
          </w:p>
        </w:tc>
      </w:tr>
    </w:tbl>
    <w:p>
      <w:pPr>
        <w:pStyle w:val="4"/>
        <w:spacing w:beforeLines="25" w:line="580" w:lineRule="exact"/>
        <w:ind w:firstLine="643"/>
      </w:pPr>
      <w:bookmarkStart w:id="11" w:name="_Toc25040"/>
      <w:bookmarkStart w:id="12" w:name="_Toc47622918"/>
      <w:bookmarkStart w:id="13" w:name="_Toc447114625"/>
      <w:bookmarkStart w:id="14" w:name="_Toc14662"/>
      <w:r>
        <w:t>（</w:t>
      </w:r>
      <w:r>
        <w:rPr>
          <w:rFonts w:hint="eastAsia"/>
        </w:rPr>
        <w:t>三</w:t>
      </w:r>
      <w:r>
        <w:t>）充电设施建设现状</w:t>
      </w:r>
      <w:bookmarkEnd w:id="11"/>
      <w:bookmarkEnd w:id="12"/>
      <w:bookmarkEnd w:id="13"/>
      <w:bookmarkEnd w:id="14"/>
    </w:p>
    <w:p>
      <w:pPr>
        <w:adjustRightInd w:val="0"/>
        <w:snapToGrid w:val="0"/>
        <w:spacing w:line="580" w:lineRule="exact"/>
        <w:ind w:firstLine="640" w:firstLineChars="200"/>
        <w:rPr>
          <w:rFonts w:ascii="仿宋_GB2312" w:eastAsia="仿宋_GB2312"/>
          <w:sz w:val="32"/>
          <w:szCs w:val="48"/>
        </w:rPr>
      </w:pPr>
      <w:r>
        <w:rPr>
          <w:rFonts w:hint="eastAsia" w:ascii="仿宋_GB2312" w:eastAsia="仿宋_GB2312"/>
          <w:sz w:val="32"/>
          <w:szCs w:val="48"/>
        </w:rPr>
        <w:t>陕西省电动汽车的快速发展离不开充电设施的重要保障作用，“十三五”是陕西省电动汽车及充电设施发展的起步期，省内各级政府积极落实《陕西省电动汽车充电基础设施专项规划》（</w:t>
      </w:r>
      <w:r>
        <w:rPr>
          <w:rFonts w:ascii="Times New Roman" w:hAnsi="Times New Roman" w:eastAsia="仿宋_GB2312" w:cs="Times New Roman"/>
          <w:sz w:val="32"/>
          <w:szCs w:val="48"/>
        </w:rPr>
        <w:t>2016-2020</w:t>
      </w:r>
      <w:r>
        <w:rPr>
          <w:rFonts w:hint="eastAsia" w:ascii="仿宋_GB2312" w:eastAsia="仿宋_GB2312"/>
          <w:sz w:val="32"/>
          <w:szCs w:val="48"/>
        </w:rPr>
        <w:t>年）发展要求，省市两级层面规划制定充电设施建设目标，出台优惠补贴、建设规范、管理要求等多方面政策，着力解决充电设施建设难的问题，圆满完成“十三五”期间充电设施建设目标，满足了省内电动汽车充电需求，有力推动了公交、出租、网约、轻型物流等公共领域电动化进程，促进了电动汽车在个人乘用车领域的推广应用，形成了充电设施行业蓬勃发展的良好局面。</w:t>
      </w:r>
    </w:p>
    <w:p>
      <w:pPr>
        <w:pStyle w:val="5"/>
        <w:spacing w:line="580" w:lineRule="exact"/>
        <w:ind w:firstLine="643"/>
      </w:pPr>
      <w:r>
        <w:rPr>
          <w:rFonts w:hint="eastAsia"/>
        </w:rPr>
        <w:t>1.充电设施网络体系逐步形成</w:t>
      </w:r>
    </w:p>
    <w:p>
      <w:pPr>
        <w:pStyle w:val="2"/>
        <w:spacing w:line="580" w:lineRule="exact"/>
        <w:ind w:firstLine="640"/>
        <w:rPr>
          <w:rFonts w:eastAsia="仿宋"/>
          <w:kern w:val="0"/>
          <w:sz w:val="32"/>
          <w:szCs w:val="32"/>
        </w:rPr>
      </w:pPr>
      <w:r>
        <w:rPr>
          <w:rFonts w:eastAsia="仿宋_GB2312"/>
          <w:kern w:val="0"/>
          <w:sz w:val="32"/>
          <w:szCs w:val="32"/>
        </w:rPr>
        <w:t>截</w:t>
      </w:r>
      <w:r>
        <w:rPr>
          <w:rFonts w:hint="eastAsia" w:eastAsia="仿宋_GB2312"/>
          <w:kern w:val="0"/>
          <w:sz w:val="32"/>
          <w:szCs w:val="32"/>
          <w:lang w:eastAsia="zh-CN"/>
        </w:rPr>
        <w:t>至</w:t>
      </w:r>
      <w:r>
        <w:rPr>
          <w:rFonts w:eastAsia="仿宋_GB2312"/>
          <w:kern w:val="0"/>
          <w:sz w:val="32"/>
          <w:szCs w:val="32"/>
        </w:rPr>
        <w:t>2020年末，省内公共充电桩总数超过1.7万</w:t>
      </w:r>
      <w:r>
        <w:rPr>
          <w:rFonts w:hint="eastAsia" w:eastAsia="仿宋_GB2312"/>
          <w:kern w:val="0"/>
          <w:sz w:val="32"/>
          <w:szCs w:val="32"/>
        </w:rPr>
        <w:t>根</w:t>
      </w:r>
      <w:r>
        <w:rPr>
          <w:rStyle w:val="24"/>
          <w:rFonts w:eastAsia="仿宋_GB2312"/>
          <w:kern w:val="0"/>
          <w:sz w:val="32"/>
          <w:szCs w:val="32"/>
        </w:rPr>
        <w:footnoteReference w:id="3"/>
      </w:r>
      <w:r>
        <w:rPr>
          <w:rFonts w:eastAsia="仿宋_GB2312"/>
          <w:kern w:val="0"/>
          <w:sz w:val="32"/>
          <w:szCs w:val="32"/>
        </w:rPr>
        <w:t>、总功率约73万千瓦，直流充电桩与交流充电桩比例约为2:1，主要满足出租、网约、公交、物流等运营车辆充电需求，2020年全省公共充电站充电量约5.9亿度，充电量排名位于全国前五位。省内公共充电设施随电动汽车应用主要布局于西安市，西安市则主要集中于三环以内区域；其他地市根据电动汽车推广情况，相应建设了专用、公用、自用等充电设施。</w:t>
      </w:r>
      <w:r>
        <w:rPr>
          <w:rFonts w:eastAsia="仿宋_GB2312"/>
          <w:sz w:val="32"/>
          <w:szCs w:val="48"/>
        </w:rPr>
        <w:t>陕西省积极开展充电设施</w:t>
      </w:r>
      <w:r>
        <w:rPr>
          <w:rFonts w:hint="eastAsia" w:eastAsia="仿宋_GB2312"/>
          <w:sz w:val="32"/>
          <w:szCs w:val="48"/>
        </w:rPr>
        <w:t>“</w:t>
      </w:r>
      <w:r>
        <w:rPr>
          <w:rFonts w:eastAsia="仿宋_GB2312"/>
          <w:sz w:val="32"/>
          <w:szCs w:val="48"/>
        </w:rPr>
        <w:t>进政府、进高校、进企业、进景区、进园区、进小区</w:t>
      </w:r>
      <w:r>
        <w:rPr>
          <w:rFonts w:hint="eastAsia" w:eastAsia="仿宋_GB2312"/>
          <w:sz w:val="32"/>
          <w:szCs w:val="48"/>
        </w:rPr>
        <w:t>”</w:t>
      </w:r>
      <w:r>
        <w:rPr>
          <w:rFonts w:eastAsia="仿宋_GB2312"/>
          <w:sz w:val="32"/>
          <w:szCs w:val="48"/>
        </w:rPr>
        <w:t>，旨在优化充电设施建设布局、满足电</w:t>
      </w:r>
      <w:r>
        <w:rPr>
          <w:rFonts w:eastAsia="仿宋_GB2312"/>
          <w:kern w:val="0"/>
          <w:sz w:val="32"/>
          <w:szCs w:val="32"/>
        </w:rPr>
        <w:t>动汽车充电需求，</w:t>
      </w:r>
      <w:r>
        <w:rPr>
          <w:rFonts w:hint="eastAsia" w:eastAsia="仿宋_GB2312"/>
          <w:kern w:val="0"/>
          <w:sz w:val="32"/>
          <w:szCs w:val="32"/>
        </w:rPr>
        <w:t>打造覆盖广泛的充电设施网络体系，</w:t>
      </w:r>
      <w:r>
        <w:rPr>
          <w:rFonts w:eastAsia="仿宋_GB2312"/>
          <w:kern w:val="0"/>
          <w:sz w:val="32"/>
          <w:szCs w:val="32"/>
        </w:rPr>
        <w:t>推动电动汽车应用普及。</w:t>
      </w:r>
    </w:p>
    <w:p>
      <w:pPr>
        <w:pStyle w:val="2"/>
        <w:spacing w:line="580" w:lineRule="exact"/>
        <w:ind w:firstLine="640"/>
        <w:rPr>
          <w:rFonts w:ascii="仿宋_GB2312" w:eastAsia="仿宋_GB2312"/>
          <w:kern w:val="0"/>
          <w:sz w:val="32"/>
          <w:szCs w:val="32"/>
        </w:rPr>
      </w:pPr>
      <w:r>
        <w:rPr>
          <w:rFonts w:hint="eastAsia" w:ascii="仿宋_GB2312" w:eastAsia="仿宋_GB2312"/>
          <w:kern w:val="0"/>
          <w:sz w:val="32"/>
          <w:szCs w:val="32"/>
        </w:rPr>
        <w:t>建成高速公路服务区充电站达百</w:t>
      </w:r>
      <w:r>
        <w:rPr>
          <w:rFonts w:hint="eastAsia" w:eastAsia="仿宋"/>
          <w:kern w:val="0"/>
          <w:sz w:val="32"/>
          <w:szCs w:val="32"/>
        </w:rPr>
        <w:t>座</w:t>
      </w:r>
      <w:r>
        <w:rPr>
          <w:rFonts w:hint="eastAsia" w:ascii="仿宋_GB2312" w:eastAsia="仿宋_GB2312"/>
          <w:kern w:val="0"/>
          <w:sz w:val="32"/>
          <w:szCs w:val="32"/>
        </w:rPr>
        <w:t>，基本覆盖省内高速公路，初步形成城际出行充电网络。推进充电新技术应用，完中国西部创新港有序充电项目建设，建成</w:t>
      </w:r>
      <w:r>
        <w:rPr>
          <w:rFonts w:hint="eastAsia" w:eastAsia="仿宋"/>
          <w:kern w:val="0"/>
          <w:sz w:val="32"/>
          <w:szCs w:val="32"/>
        </w:rPr>
        <w:t>10</w:t>
      </w:r>
      <w:r>
        <w:rPr>
          <w:rFonts w:eastAsia="仿宋"/>
          <w:kern w:val="0"/>
          <w:sz w:val="32"/>
          <w:szCs w:val="32"/>
        </w:rPr>
        <w:t>0</w:t>
      </w:r>
      <w:r>
        <w:rPr>
          <w:rFonts w:hint="eastAsia" w:eastAsia="仿宋"/>
          <w:kern w:val="0"/>
          <w:sz w:val="32"/>
          <w:szCs w:val="32"/>
        </w:rPr>
        <w:t>0余根7kW</w:t>
      </w:r>
      <w:r>
        <w:rPr>
          <w:rFonts w:hint="eastAsia" w:ascii="仿宋_GB2312" w:eastAsia="仿宋_GB2312"/>
          <w:kern w:val="0"/>
          <w:sz w:val="32"/>
          <w:szCs w:val="32"/>
        </w:rPr>
        <w:t>、有序充电桩；试点建成咸阳机场大功率充电站。在华山、兵马俑景区建成公用充电设施。</w:t>
      </w:r>
    </w:p>
    <w:p>
      <w:pPr>
        <w:pStyle w:val="5"/>
        <w:spacing w:line="580" w:lineRule="exact"/>
        <w:ind w:firstLine="643"/>
      </w:pPr>
      <w:r>
        <w:rPr>
          <w:rFonts w:hint="eastAsia"/>
        </w:rPr>
        <w:t>2.充电设施产业初具规模</w:t>
      </w:r>
    </w:p>
    <w:p>
      <w:pPr>
        <w:pStyle w:val="2"/>
        <w:spacing w:line="580" w:lineRule="exact"/>
        <w:ind w:firstLine="640"/>
        <w:rPr>
          <w:rFonts w:ascii="仿宋_GB2312" w:eastAsia="仿宋_GB2312"/>
          <w:kern w:val="0"/>
          <w:sz w:val="32"/>
          <w:szCs w:val="32"/>
        </w:rPr>
      </w:pPr>
      <w:r>
        <w:rPr>
          <w:rFonts w:ascii="仿宋_GB2312" w:eastAsia="仿宋_GB2312"/>
          <w:kern w:val="0"/>
          <w:sz w:val="32"/>
          <w:szCs w:val="32"/>
        </w:rPr>
        <w:t>省内公共充电设施建设</w:t>
      </w:r>
      <w:r>
        <w:rPr>
          <w:rFonts w:hint="eastAsia" w:ascii="仿宋_GB2312" w:eastAsia="仿宋_GB2312"/>
          <w:kern w:val="0"/>
          <w:sz w:val="32"/>
          <w:szCs w:val="32"/>
        </w:rPr>
        <w:t>运营企业已达近百余</w:t>
      </w:r>
      <w:r>
        <w:rPr>
          <w:rFonts w:ascii="仿宋_GB2312" w:eastAsia="仿宋_GB2312"/>
          <w:kern w:val="0"/>
          <w:sz w:val="32"/>
          <w:szCs w:val="32"/>
        </w:rPr>
        <w:t>家，规模较大的主要有</w:t>
      </w:r>
      <w:r>
        <w:rPr>
          <w:rFonts w:hint="eastAsia" w:ascii="仿宋_GB2312" w:eastAsia="仿宋_GB2312"/>
          <w:kern w:val="0"/>
          <w:sz w:val="32"/>
          <w:szCs w:val="32"/>
        </w:rPr>
        <w:t>国网陕西电动汽车公司、西安城投特来电、西安城投新能源、陕西万邦星星新能源、陕西万充</w:t>
      </w:r>
      <w:r>
        <w:rPr>
          <w:rFonts w:ascii="仿宋_GB2312" w:eastAsia="仿宋_GB2312"/>
          <w:kern w:val="0"/>
          <w:sz w:val="32"/>
          <w:szCs w:val="32"/>
        </w:rPr>
        <w:t>等。主要服务公交车的充电站充电量较为稳定，</w:t>
      </w:r>
      <w:r>
        <w:rPr>
          <w:rFonts w:hint="eastAsia" w:ascii="仿宋_GB2312" w:eastAsia="仿宋_GB2312"/>
          <w:kern w:val="0"/>
          <w:sz w:val="32"/>
          <w:szCs w:val="32"/>
        </w:rPr>
        <w:t>平均</w:t>
      </w:r>
      <w:r>
        <w:rPr>
          <w:rFonts w:ascii="仿宋_GB2312" w:eastAsia="仿宋_GB2312"/>
          <w:kern w:val="0"/>
          <w:sz w:val="32"/>
          <w:szCs w:val="32"/>
        </w:rPr>
        <w:t>利用率为</w:t>
      </w:r>
      <w:r>
        <w:rPr>
          <w:rFonts w:eastAsia="仿宋"/>
          <w:kern w:val="0"/>
          <w:sz w:val="32"/>
          <w:szCs w:val="32"/>
        </w:rPr>
        <w:t>15%左</w:t>
      </w:r>
      <w:r>
        <w:rPr>
          <w:rFonts w:ascii="仿宋_GB2312" w:eastAsia="仿宋_GB2312"/>
          <w:kern w:val="0"/>
          <w:sz w:val="32"/>
          <w:szCs w:val="32"/>
        </w:rPr>
        <w:t>右。主要服务电动出租车、网约车等运营车辆</w:t>
      </w:r>
      <w:r>
        <w:rPr>
          <w:rFonts w:hint="eastAsia" w:ascii="仿宋_GB2312" w:eastAsia="仿宋_GB2312"/>
          <w:kern w:val="0"/>
          <w:sz w:val="32"/>
          <w:szCs w:val="32"/>
        </w:rPr>
        <w:t>的</w:t>
      </w:r>
      <w:r>
        <w:rPr>
          <w:rFonts w:ascii="仿宋_GB2312" w:eastAsia="仿宋_GB2312"/>
          <w:kern w:val="0"/>
          <w:sz w:val="32"/>
          <w:szCs w:val="32"/>
        </w:rPr>
        <w:t>公共充电站利用率与位置等因素相关</w:t>
      </w:r>
      <w:r>
        <w:rPr>
          <w:rFonts w:hint="eastAsia" w:ascii="仿宋_GB2312" w:eastAsia="仿宋_GB2312"/>
          <w:kern w:val="0"/>
          <w:sz w:val="32"/>
          <w:szCs w:val="32"/>
        </w:rPr>
        <w:t>，</w:t>
      </w:r>
      <w:r>
        <w:rPr>
          <w:rFonts w:ascii="仿宋_GB2312" w:eastAsia="仿宋_GB2312"/>
          <w:kern w:val="0"/>
          <w:sz w:val="32"/>
          <w:szCs w:val="32"/>
        </w:rPr>
        <w:t>差异较大，</w:t>
      </w:r>
      <w:r>
        <w:rPr>
          <w:rFonts w:hint="eastAsia" w:ascii="仿宋_GB2312" w:eastAsia="仿宋_GB2312"/>
          <w:kern w:val="0"/>
          <w:sz w:val="32"/>
          <w:szCs w:val="32"/>
        </w:rPr>
        <w:t>为</w:t>
      </w:r>
      <w:r>
        <w:rPr>
          <w:rFonts w:eastAsia="仿宋"/>
          <w:kern w:val="0"/>
          <w:sz w:val="32"/>
          <w:szCs w:val="32"/>
        </w:rPr>
        <w:t>6%</w:t>
      </w:r>
      <w:r>
        <w:rPr>
          <w:rFonts w:hint="eastAsia" w:eastAsia="仿宋"/>
          <w:kern w:val="0"/>
          <w:sz w:val="32"/>
          <w:szCs w:val="32"/>
        </w:rPr>
        <w:t>～</w:t>
      </w:r>
      <w:r>
        <w:rPr>
          <w:rFonts w:eastAsia="仿宋"/>
          <w:kern w:val="0"/>
          <w:sz w:val="32"/>
          <w:szCs w:val="32"/>
        </w:rPr>
        <w:t>20%</w:t>
      </w:r>
      <w:r>
        <w:rPr>
          <w:rFonts w:hint="eastAsia" w:ascii="仿宋_GB2312" w:eastAsia="仿宋_GB2312"/>
          <w:kern w:val="0"/>
          <w:sz w:val="32"/>
          <w:szCs w:val="32"/>
        </w:rPr>
        <w:t>左右。省内电动汽车充电设备制造产业紧跟国内外发展步伐，在产品研发、生产等领域具备一定实力。</w:t>
      </w:r>
    </w:p>
    <w:p>
      <w:pPr>
        <w:pStyle w:val="5"/>
        <w:spacing w:line="580" w:lineRule="exact"/>
        <w:ind w:firstLine="643"/>
      </w:pPr>
      <w:r>
        <w:rPr>
          <w:rFonts w:hint="eastAsia"/>
        </w:rPr>
        <w:t>3.私人充电设施有序发展</w:t>
      </w:r>
    </w:p>
    <w:p>
      <w:pPr>
        <w:pStyle w:val="2"/>
        <w:spacing w:line="580" w:lineRule="exact"/>
        <w:ind w:firstLine="640"/>
        <w:rPr>
          <w:rFonts w:ascii="仿宋_GB2312" w:eastAsia="仿宋_GB2312"/>
          <w:kern w:val="0"/>
          <w:sz w:val="32"/>
          <w:szCs w:val="32"/>
        </w:rPr>
      </w:pPr>
      <w:r>
        <w:rPr>
          <w:rFonts w:hint="eastAsia" w:ascii="仿宋_GB2312" w:eastAsia="仿宋_GB2312"/>
          <w:kern w:val="0"/>
          <w:sz w:val="32"/>
          <w:szCs w:val="32"/>
        </w:rPr>
        <w:t>私人乘用车原则上按照车桩比</w:t>
      </w:r>
      <w:r>
        <w:rPr>
          <w:rFonts w:eastAsia="仿宋_GB2312"/>
          <w:kern w:val="0"/>
          <w:sz w:val="32"/>
          <w:szCs w:val="32"/>
        </w:rPr>
        <w:t>1:1建设自用充电桩，实际由于不具有固定停车位、小区物业安全考虑、小区配变容量有限、改造空间受限等原因，建成率约70%左</w:t>
      </w:r>
      <w:r>
        <w:rPr>
          <w:rFonts w:hint="eastAsia" w:ascii="仿宋_GB2312" w:eastAsia="仿宋_GB2312"/>
          <w:kern w:val="0"/>
          <w:sz w:val="32"/>
          <w:szCs w:val="32"/>
        </w:rPr>
        <w:t>右，全省共约</w:t>
      </w:r>
      <w:r>
        <w:rPr>
          <w:rFonts w:hint="eastAsia" w:eastAsia="仿宋_GB2312"/>
          <w:kern w:val="0"/>
          <w:sz w:val="32"/>
          <w:szCs w:val="32"/>
        </w:rPr>
        <w:t>4.5</w:t>
      </w:r>
      <w:r>
        <w:rPr>
          <w:rFonts w:hint="eastAsia" w:ascii="仿宋_GB2312" w:eastAsia="仿宋_GB2312"/>
          <w:kern w:val="0"/>
          <w:sz w:val="32"/>
          <w:szCs w:val="32"/>
        </w:rPr>
        <w:t>万根私人充电桩。</w:t>
      </w:r>
    </w:p>
    <w:p>
      <w:pPr>
        <w:pStyle w:val="5"/>
        <w:spacing w:line="580" w:lineRule="exact"/>
        <w:ind w:firstLine="643"/>
      </w:pPr>
      <w:r>
        <w:rPr>
          <w:rFonts w:hint="eastAsia"/>
        </w:rPr>
        <w:t>4.建设陕西省智慧车联网平台</w:t>
      </w:r>
    </w:p>
    <w:p>
      <w:pPr>
        <w:pStyle w:val="2"/>
        <w:spacing w:line="580" w:lineRule="exact"/>
        <w:ind w:firstLine="640"/>
        <w:rPr>
          <w:rFonts w:eastAsia="仿宋_GB2312"/>
          <w:kern w:val="0"/>
          <w:sz w:val="32"/>
          <w:szCs w:val="32"/>
        </w:rPr>
      </w:pPr>
      <w:r>
        <w:rPr>
          <w:rFonts w:hint="eastAsia" w:ascii="仿宋_GB2312" w:eastAsia="仿宋_GB2312"/>
          <w:kern w:val="0"/>
          <w:sz w:val="32"/>
          <w:szCs w:val="32"/>
        </w:rPr>
        <w:t>建成西部地区首个省级充电服务平台—陕西智慧车联网平台，该平台是</w:t>
      </w:r>
      <w:r>
        <w:rPr>
          <w:rFonts w:hint="eastAsia" w:eastAsia="仿宋_GB2312"/>
          <w:kern w:val="0"/>
          <w:sz w:val="32"/>
          <w:szCs w:val="32"/>
        </w:rPr>
        <w:t>由陕西充电设施分会负责组建、运行管理的公益</w:t>
      </w:r>
      <w:r>
        <w:rPr>
          <w:rFonts w:eastAsia="仿宋_GB2312"/>
          <w:kern w:val="0"/>
          <w:sz w:val="32"/>
          <w:szCs w:val="32"/>
        </w:rPr>
        <w:t>性省级政府平台，</w:t>
      </w:r>
      <w:r>
        <w:rPr>
          <w:rFonts w:hint="eastAsia" w:eastAsia="仿宋_GB2312"/>
          <w:kern w:val="0"/>
          <w:sz w:val="32"/>
          <w:szCs w:val="32"/>
        </w:rPr>
        <w:t>已接入国家电网、万帮星星、特来电、西安城投等充电设施运营企业</w:t>
      </w:r>
      <w:r>
        <w:rPr>
          <w:rFonts w:eastAsia="仿宋_GB2312"/>
          <w:kern w:val="0"/>
          <w:sz w:val="32"/>
          <w:szCs w:val="32"/>
        </w:rPr>
        <w:t>115</w:t>
      </w:r>
      <w:r>
        <w:rPr>
          <w:rFonts w:hint="eastAsia" w:eastAsia="仿宋_GB2312"/>
          <w:kern w:val="0"/>
          <w:sz w:val="32"/>
          <w:szCs w:val="32"/>
        </w:rPr>
        <w:t>家，基本实现了省内充电设施的互联互通。平台</w:t>
      </w:r>
      <w:r>
        <w:rPr>
          <w:rFonts w:eastAsia="仿宋_GB2312"/>
          <w:kern w:val="0"/>
          <w:sz w:val="32"/>
          <w:szCs w:val="32"/>
        </w:rPr>
        <w:t>汇集全省11个地市充电设施、新能源汽车信息，通过互联互通实现</w:t>
      </w:r>
      <w:r>
        <w:rPr>
          <w:rFonts w:hint="eastAsia" w:eastAsia="仿宋_GB2312"/>
          <w:kern w:val="0"/>
          <w:sz w:val="32"/>
          <w:szCs w:val="32"/>
        </w:rPr>
        <w:t>“</w:t>
      </w:r>
      <w:r>
        <w:rPr>
          <w:rFonts w:eastAsia="仿宋_GB2312"/>
          <w:kern w:val="0"/>
          <w:sz w:val="32"/>
          <w:szCs w:val="32"/>
        </w:rPr>
        <w:t>车</w:t>
      </w:r>
      <w:r>
        <w:rPr>
          <w:rFonts w:hint="eastAsia" w:eastAsia="仿宋_GB2312"/>
          <w:kern w:val="0"/>
          <w:sz w:val="32"/>
          <w:szCs w:val="32"/>
        </w:rPr>
        <w:t>—</w:t>
      </w:r>
      <w:r>
        <w:rPr>
          <w:rFonts w:eastAsia="仿宋_GB2312"/>
          <w:kern w:val="0"/>
          <w:sz w:val="32"/>
          <w:szCs w:val="32"/>
        </w:rPr>
        <w:t>桩</w:t>
      </w:r>
      <w:r>
        <w:rPr>
          <w:rFonts w:hint="eastAsia" w:eastAsia="仿宋_GB2312"/>
          <w:kern w:val="0"/>
          <w:sz w:val="32"/>
          <w:szCs w:val="32"/>
        </w:rPr>
        <w:t>—</w:t>
      </w:r>
      <w:r>
        <w:rPr>
          <w:rFonts w:eastAsia="仿宋_GB2312"/>
          <w:kern w:val="0"/>
          <w:sz w:val="32"/>
          <w:szCs w:val="32"/>
        </w:rPr>
        <w:t>网</w:t>
      </w:r>
      <w:r>
        <w:rPr>
          <w:rFonts w:hint="eastAsia" w:eastAsia="仿宋_GB2312"/>
          <w:kern w:val="0"/>
          <w:sz w:val="32"/>
          <w:szCs w:val="32"/>
        </w:rPr>
        <w:t>”</w:t>
      </w:r>
      <w:r>
        <w:rPr>
          <w:rFonts w:eastAsia="仿宋_GB2312"/>
          <w:kern w:val="0"/>
          <w:sz w:val="32"/>
          <w:szCs w:val="32"/>
        </w:rPr>
        <w:t>一体化管理，促进全省充电设施共享，为省内电动汽</w:t>
      </w:r>
      <w:r>
        <w:rPr>
          <w:rFonts w:hint="eastAsia" w:eastAsia="仿宋_GB2312"/>
          <w:kern w:val="0"/>
          <w:sz w:val="32"/>
          <w:szCs w:val="32"/>
        </w:rPr>
        <w:t>车提供充电服务。积极发挥平台价值，依托平台实现政策发布、补贴申领、电力交易等功能，实现全省充电设施统一管理。聚合平台充电设施负荷，组织开展电力（绿电）交易，最大限度地降低终端充电用户的电价，降低电动汽车的充电成本。特别是绿电交易，实现了“电动汽车</w:t>
      </w:r>
      <w:r>
        <w:rPr>
          <w:rFonts w:eastAsia="仿宋_GB2312"/>
          <w:kern w:val="0"/>
          <w:sz w:val="32"/>
          <w:szCs w:val="32"/>
        </w:rPr>
        <w:t>+</w:t>
      </w:r>
      <w:r>
        <w:rPr>
          <w:rFonts w:hint="eastAsia" w:eastAsia="仿宋_GB2312"/>
          <w:kern w:val="0"/>
          <w:sz w:val="32"/>
          <w:szCs w:val="32"/>
        </w:rPr>
        <w:t>清洁能源”，真正让新能源车用上新能源电。</w:t>
      </w:r>
    </w:p>
    <w:p>
      <w:pPr>
        <w:pStyle w:val="4"/>
        <w:ind w:firstLine="643"/>
      </w:pPr>
      <w:bookmarkStart w:id="15" w:name="_Toc10390"/>
      <w:bookmarkStart w:id="16" w:name="_Toc3869"/>
      <w:r>
        <w:t>（</w:t>
      </w:r>
      <w:r>
        <w:rPr>
          <w:rFonts w:hint="eastAsia"/>
        </w:rPr>
        <w:t>四</w:t>
      </w:r>
      <w:r>
        <w:t>）充电设施</w:t>
      </w:r>
      <w:r>
        <w:rPr>
          <w:rFonts w:hint="eastAsia"/>
        </w:rPr>
        <w:t>技术发展情况</w:t>
      </w:r>
      <w:bookmarkEnd w:id="15"/>
      <w:bookmarkEnd w:id="16"/>
    </w:p>
    <w:p>
      <w:pPr>
        <w:pStyle w:val="2"/>
        <w:spacing w:line="580" w:lineRule="exact"/>
        <w:ind w:firstLine="640"/>
        <w:rPr>
          <w:rFonts w:ascii="仿宋_GB2312" w:eastAsia="仿宋_GB2312"/>
          <w:kern w:val="0"/>
          <w:sz w:val="32"/>
          <w:szCs w:val="32"/>
        </w:rPr>
      </w:pPr>
      <w:r>
        <w:rPr>
          <w:rFonts w:hint="eastAsia" w:ascii="仿宋_GB2312" w:eastAsia="仿宋_GB2312"/>
          <w:kern w:val="0"/>
          <w:sz w:val="32"/>
          <w:szCs w:val="32"/>
        </w:rPr>
        <w:t>随着电池能量密度和电池充电电压的提升，电动汽车快速充电能力得到较大提升。</w:t>
      </w:r>
      <w:r>
        <w:rPr>
          <w:rFonts w:ascii="仿宋_GB2312" w:eastAsia="仿宋_GB2312"/>
          <w:kern w:val="0"/>
          <w:sz w:val="32"/>
          <w:szCs w:val="32"/>
        </w:rPr>
        <w:t>目前国内公共充电领域以直流快充为主</w:t>
      </w:r>
      <w:r>
        <w:rPr>
          <w:rFonts w:hint="eastAsia" w:ascii="仿宋_GB2312" w:eastAsia="仿宋_GB2312"/>
          <w:kern w:val="0"/>
          <w:sz w:val="32"/>
          <w:szCs w:val="32"/>
        </w:rPr>
        <w:t>、</w:t>
      </w:r>
      <w:r>
        <w:rPr>
          <w:rFonts w:ascii="仿宋_GB2312" w:eastAsia="仿宋_GB2312"/>
          <w:kern w:val="0"/>
          <w:sz w:val="32"/>
          <w:szCs w:val="32"/>
        </w:rPr>
        <w:t>交流慢充为辅，其他充电方式为补充</w:t>
      </w:r>
      <w:r>
        <w:rPr>
          <w:rFonts w:hint="eastAsia" w:ascii="仿宋_GB2312" w:eastAsia="仿宋_GB2312"/>
          <w:kern w:val="0"/>
          <w:sz w:val="32"/>
          <w:szCs w:val="32"/>
        </w:rPr>
        <w:t>；</w:t>
      </w:r>
      <w:r>
        <w:rPr>
          <w:rFonts w:ascii="仿宋_GB2312" w:eastAsia="仿宋_GB2312"/>
          <w:kern w:val="0"/>
          <w:sz w:val="32"/>
          <w:szCs w:val="32"/>
        </w:rPr>
        <w:t>在私人充电领域主要</w:t>
      </w:r>
      <w:r>
        <w:rPr>
          <w:rFonts w:hint="eastAsia" w:ascii="仿宋_GB2312" w:eastAsia="仿宋_GB2312"/>
          <w:kern w:val="0"/>
          <w:sz w:val="32"/>
          <w:szCs w:val="32"/>
        </w:rPr>
        <w:t>为</w:t>
      </w:r>
      <w:r>
        <w:rPr>
          <w:rFonts w:ascii="仿宋_GB2312" w:eastAsia="仿宋_GB2312"/>
          <w:kern w:val="0"/>
          <w:sz w:val="32"/>
          <w:szCs w:val="32"/>
        </w:rPr>
        <w:t>交流慢充</w:t>
      </w:r>
      <w:r>
        <w:rPr>
          <w:rFonts w:hint="eastAsia" w:ascii="仿宋_GB2312" w:eastAsia="仿宋_GB2312"/>
          <w:kern w:val="0"/>
          <w:sz w:val="32"/>
          <w:szCs w:val="32"/>
        </w:rPr>
        <w:t>方式</w:t>
      </w:r>
      <w:r>
        <w:rPr>
          <w:rFonts w:ascii="仿宋_GB2312" w:eastAsia="仿宋_GB2312"/>
          <w:kern w:val="0"/>
          <w:sz w:val="32"/>
          <w:szCs w:val="32"/>
        </w:rPr>
        <w:t>。国内公共交流桩主要分为单相交流桩和三相</w:t>
      </w:r>
      <w:r>
        <w:rPr>
          <w:rFonts w:eastAsia="仿宋_GB2312"/>
          <w:kern w:val="0"/>
          <w:sz w:val="32"/>
          <w:szCs w:val="32"/>
        </w:rPr>
        <w:t>交流桩。三相交流桩功率主要为40kW，单相交流桩充电功率以7kW为主。公共直流充电桩充电功率普遍为60kW、120kW、180kW左右，一机双枪120kW型直流充电桩较多。同时大功率充电（300kW及以上）、无线充电、小功率直流充电(20kW</w:t>
      </w:r>
      <w:r>
        <w:rPr>
          <w:rFonts w:hint="eastAsia" w:eastAsia="仿宋_GB2312"/>
          <w:kern w:val="0"/>
          <w:sz w:val="32"/>
          <w:szCs w:val="32"/>
        </w:rPr>
        <w:t>—</w:t>
      </w:r>
      <w:r>
        <w:rPr>
          <w:rFonts w:eastAsia="仿宋_GB2312"/>
          <w:kern w:val="0"/>
          <w:sz w:val="32"/>
          <w:szCs w:val="32"/>
        </w:rPr>
        <w:t>40kW)、换电及</w:t>
      </w:r>
      <w:r>
        <w:rPr>
          <w:rFonts w:hint="eastAsia" w:eastAsia="仿宋_GB2312"/>
          <w:kern w:val="0"/>
          <w:sz w:val="32"/>
          <w:szCs w:val="32"/>
        </w:rPr>
        <w:t>“</w:t>
      </w:r>
      <w:r>
        <w:rPr>
          <w:rFonts w:eastAsia="仿宋_GB2312"/>
          <w:kern w:val="0"/>
          <w:sz w:val="32"/>
          <w:szCs w:val="32"/>
        </w:rPr>
        <w:t>光储充</w:t>
      </w:r>
      <w:r>
        <w:rPr>
          <w:rFonts w:hint="eastAsia" w:eastAsia="仿宋_GB2312"/>
          <w:kern w:val="0"/>
          <w:sz w:val="32"/>
          <w:szCs w:val="32"/>
        </w:rPr>
        <w:t>”</w:t>
      </w:r>
      <w:r>
        <w:rPr>
          <w:rFonts w:eastAsia="仿宋_GB2312"/>
          <w:kern w:val="0"/>
          <w:sz w:val="32"/>
          <w:szCs w:val="32"/>
        </w:rPr>
        <w:t>一体等技术蓬勃发展，增强了用户的充电体验，家</w:t>
      </w:r>
      <w:r>
        <w:rPr>
          <w:rFonts w:ascii="仿宋_GB2312" w:eastAsia="仿宋_GB2312"/>
          <w:kern w:val="0"/>
          <w:sz w:val="32"/>
          <w:szCs w:val="32"/>
        </w:rPr>
        <w:t>用充电插座</w:t>
      </w:r>
      <w:r>
        <w:rPr>
          <w:rFonts w:hint="eastAsia" w:ascii="仿宋_GB2312" w:eastAsia="仿宋_GB2312"/>
          <w:kern w:val="0"/>
          <w:sz w:val="32"/>
          <w:szCs w:val="32"/>
        </w:rPr>
        <w:t>方式</w:t>
      </w:r>
      <w:r>
        <w:rPr>
          <w:rFonts w:ascii="仿宋_GB2312" w:eastAsia="仿宋_GB2312"/>
          <w:kern w:val="0"/>
          <w:sz w:val="32"/>
          <w:szCs w:val="32"/>
        </w:rPr>
        <w:t>给电动汽车用户提供</w:t>
      </w:r>
      <w:r>
        <w:rPr>
          <w:rFonts w:hint="eastAsia" w:ascii="仿宋_GB2312" w:eastAsia="仿宋_GB2312"/>
          <w:kern w:val="0"/>
          <w:sz w:val="32"/>
          <w:szCs w:val="32"/>
        </w:rPr>
        <w:t>更便捷的充电方式。</w:t>
      </w:r>
    </w:p>
    <w:p>
      <w:pPr>
        <w:pStyle w:val="2"/>
        <w:spacing w:line="580" w:lineRule="exact"/>
        <w:ind w:firstLine="640"/>
        <w:rPr>
          <w:rFonts w:ascii="仿宋_GB2312" w:eastAsia="仿宋_GB2312"/>
          <w:kern w:val="0"/>
          <w:sz w:val="32"/>
          <w:szCs w:val="32"/>
        </w:rPr>
      </w:pPr>
      <w:r>
        <w:rPr>
          <w:rFonts w:hint="eastAsia" w:ascii="仿宋_GB2312" w:eastAsia="仿宋_GB2312"/>
          <w:kern w:val="0"/>
          <w:sz w:val="32"/>
          <w:szCs w:val="32"/>
        </w:rPr>
        <w:t>随着技术发展，充电设施将</w:t>
      </w:r>
      <w:r>
        <w:rPr>
          <w:rFonts w:eastAsia="仿宋_GB2312"/>
          <w:kern w:val="0"/>
          <w:sz w:val="32"/>
          <w:szCs w:val="32"/>
        </w:rPr>
        <w:t>呈现多方位发展趋势：一是大功率快速充电，乘用车单枪充电功率从60kW升级到350kW，充电时间将进一步缩短；二是小功率直流充电并行发展，采用小功率直流充电替代交流充电方案将成为小区/园区充电场景的关键技术路线之一，使</w:t>
      </w:r>
      <w:r>
        <w:rPr>
          <w:rFonts w:hint="eastAsia" w:eastAsia="仿宋_GB2312"/>
          <w:kern w:val="0"/>
          <w:sz w:val="32"/>
          <w:szCs w:val="32"/>
        </w:rPr>
        <w:t>“</w:t>
      </w:r>
      <w:r>
        <w:rPr>
          <w:rFonts w:eastAsia="仿宋_GB2312"/>
          <w:kern w:val="0"/>
          <w:sz w:val="32"/>
          <w:szCs w:val="32"/>
        </w:rPr>
        <w:t>最后一</w:t>
      </w:r>
      <w:r>
        <w:rPr>
          <w:rFonts w:hint="eastAsia" w:eastAsia="仿宋_GB2312"/>
          <w:kern w:val="0"/>
          <w:sz w:val="32"/>
          <w:szCs w:val="32"/>
        </w:rPr>
        <w:t>千米”</w:t>
      </w:r>
      <w:r>
        <w:rPr>
          <w:rFonts w:eastAsia="仿宋_GB2312"/>
          <w:kern w:val="0"/>
          <w:sz w:val="32"/>
          <w:szCs w:val="32"/>
        </w:rPr>
        <w:t>充电更快捷；三是通过运用5G通信、大数据、人工智能等新</w:t>
      </w:r>
      <w:r>
        <w:rPr>
          <w:rFonts w:hint="eastAsia" w:ascii="仿宋_GB2312" w:eastAsia="仿宋_GB2312"/>
          <w:kern w:val="0"/>
          <w:sz w:val="32"/>
          <w:szCs w:val="32"/>
        </w:rPr>
        <w:t>技术，充电设施智能化水平将不断提升，充电设施运行效率更高、助力智慧出行；四是充电基础设施将成为多网融合的节点，电网、电动汽车群、车联网等多个方面通过充电设施实现联结，在实现便捷充电、人员出行、车网互动等方面具有关键作用。</w:t>
      </w:r>
    </w:p>
    <w:p>
      <w:pPr>
        <w:pStyle w:val="4"/>
        <w:spacing w:line="580" w:lineRule="exact"/>
        <w:ind w:firstLine="643"/>
      </w:pPr>
      <w:bookmarkStart w:id="17" w:name="_Toc6311"/>
      <w:bookmarkStart w:id="18" w:name="_Toc5672"/>
      <w:r>
        <w:t>（</w:t>
      </w:r>
      <w:r>
        <w:rPr>
          <w:rFonts w:hint="eastAsia"/>
        </w:rPr>
        <w:t>五</w:t>
      </w:r>
      <w:r>
        <w:t>）</w:t>
      </w:r>
      <w:r>
        <w:rPr>
          <w:rFonts w:hint="eastAsia"/>
        </w:rPr>
        <w:t>电动汽车及充电设施发展支持文件</w:t>
      </w:r>
      <w:bookmarkEnd w:id="17"/>
      <w:bookmarkEnd w:id="18"/>
    </w:p>
    <w:p>
      <w:pPr>
        <w:pStyle w:val="2"/>
        <w:spacing w:line="580" w:lineRule="exact"/>
        <w:ind w:firstLine="640"/>
        <w:rPr>
          <w:rFonts w:ascii="仿宋_GB2312" w:eastAsia="仿宋_GB2312"/>
          <w:kern w:val="0"/>
          <w:sz w:val="32"/>
          <w:szCs w:val="32"/>
        </w:rPr>
      </w:pPr>
      <w:r>
        <w:rPr>
          <w:rFonts w:hint="eastAsia" w:ascii="仿宋_GB2312" w:eastAsia="仿宋_GB2312"/>
          <w:kern w:val="0"/>
          <w:sz w:val="32"/>
          <w:szCs w:val="32"/>
        </w:rPr>
        <w:t>“十三五”期间陕西省紧跟国家政策方针，坚持大力发展新能源汽车的战略方向，省市层面持续出台多项支持政策，推动了省内新能源汽车推广及充电设施建设，陕西新能源汽车应用水平与自身经济社会发展程度相适应。</w:t>
      </w:r>
    </w:p>
    <w:p>
      <w:pPr>
        <w:pStyle w:val="2"/>
        <w:spacing w:line="580" w:lineRule="exact"/>
        <w:ind w:firstLine="640"/>
        <w:rPr>
          <w:rFonts w:ascii="仿宋_GB2312" w:eastAsia="仿宋_GB2312"/>
          <w:kern w:val="0"/>
          <w:sz w:val="32"/>
          <w:szCs w:val="32"/>
        </w:rPr>
      </w:pPr>
      <w:r>
        <w:rPr>
          <w:rFonts w:hint="eastAsia" w:ascii="仿宋_GB2312" w:eastAsia="仿宋_GB2312"/>
          <w:kern w:val="0"/>
          <w:sz w:val="32"/>
          <w:szCs w:val="32"/>
        </w:rPr>
        <w:t>省内省级层面政策对“十三五”期间省内电动汽车应用及充电设施建设提出了总体发展目标，并在部分类型车辆购车补贴、充电站建设、运营管理、电力交易、充电设施互联互通等方面制定了相关政策，为全省充电设施良性发展奠定坚实基础。西安市</w:t>
      </w:r>
      <w:r>
        <w:rPr>
          <w:rFonts w:eastAsia="仿宋_GB2312"/>
          <w:kern w:val="0"/>
          <w:sz w:val="32"/>
          <w:szCs w:val="32"/>
        </w:rPr>
        <w:t>明确了本市内新能源汽车购车及充电设施建设补贴，并制定了至2022年的充电设施建设任务；其余各地市根据自身情况制定了充电</w:t>
      </w:r>
      <w:r>
        <w:rPr>
          <w:rFonts w:hint="eastAsia" w:ascii="仿宋_GB2312" w:eastAsia="仿宋_GB2312"/>
          <w:kern w:val="0"/>
          <w:sz w:val="32"/>
          <w:szCs w:val="32"/>
        </w:rPr>
        <w:t>设施发展目标等。</w:t>
      </w:r>
    </w:p>
    <w:p>
      <w:pPr>
        <w:pStyle w:val="5"/>
        <w:spacing w:line="580" w:lineRule="exact"/>
        <w:ind w:firstLine="643"/>
      </w:pPr>
      <w:r>
        <w:rPr>
          <w:rFonts w:hint="eastAsia"/>
        </w:rPr>
        <w:t>1.省级层面</w:t>
      </w:r>
    </w:p>
    <w:p>
      <w:pPr>
        <w:pStyle w:val="2"/>
        <w:spacing w:line="580" w:lineRule="exact"/>
        <w:ind w:firstLine="640"/>
        <w:rPr>
          <w:rFonts w:eastAsia="仿宋_GB2312"/>
          <w:kern w:val="0"/>
          <w:sz w:val="32"/>
          <w:szCs w:val="32"/>
        </w:rPr>
      </w:pPr>
      <w:r>
        <w:rPr>
          <w:rFonts w:hint="eastAsia" w:eastAsia="仿宋_GB2312"/>
          <w:kern w:val="0"/>
          <w:sz w:val="32"/>
          <w:szCs w:val="32"/>
        </w:rPr>
        <w:t>（1）</w:t>
      </w:r>
      <w:r>
        <w:rPr>
          <w:rFonts w:eastAsia="仿宋_GB2312"/>
          <w:kern w:val="0"/>
          <w:sz w:val="32"/>
          <w:szCs w:val="32"/>
        </w:rPr>
        <w:t>政策方面</w:t>
      </w:r>
    </w:p>
    <w:p>
      <w:pPr>
        <w:pStyle w:val="2"/>
        <w:spacing w:line="580" w:lineRule="exact"/>
        <w:ind w:firstLine="640"/>
        <w:rPr>
          <w:rFonts w:eastAsia="仿宋_GB2312"/>
          <w:kern w:val="0"/>
          <w:sz w:val="32"/>
          <w:szCs w:val="32"/>
        </w:rPr>
      </w:pPr>
      <w:r>
        <w:rPr>
          <w:rFonts w:eastAsia="仿宋_GB2312"/>
          <w:kern w:val="0"/>
          <w:sz w:val="32"/>
          <w:szCs w:val="32"/>
        </w:rPr>
        <w:t>2016年10月，陕西省政府办公厅《关于进一步加快我省新能源汽车推广应用的实施意见》中对省内电动汽车推广目标进行了规定，提出要推进全省新能源汽车推广应用，努力将我省建成全国重要的新能源汽车产业基地。2016至2020年全省新能源汽车推广应用力争达到10万辆以上，其中新能源公交车达到7000辆以上，占到全省公交车保有量的50%；公务车新能源汽车采购量不低于30%。全省新能源汽车实现累计销售50万辆以上。</w:t>
      </w:r>
    </w:p>
    <w:p>
      <w:pPr>
        <w:pStyle w:val="2"/>
        <w:spacing w:line="580" w:lineRule="exact"/>
        <w:ind w:firstLine="640"/>
        <w:rPr>
          <w:rFonts w:eastAsia="仿宋_GB2312"/>
          <w:kern w:val="0"/>
          <w:sz w:val="32"/>
          <w:szCs w:val="32"/>
        </w:rPr>
      </w:pPr>
      <w:r>
        <w:rPr>
          <w:rFonts w:eastAsia="仿宋_GB2312"/>
          <w:kern w:val="0"/>
          <w:sz w:val="32"/>
          <w:szCs w:val="32"/>
        </w:rPr>
        <w:t>2018年4月，陕西省《铁腕治霾打赢蓝天保卫战三年行动方案（2018-2020年）》中提出在城市公交、厂区通勤、出租以及环卫、物流等领域加快推广和普及新能源车。城市新增公交车和出租车全部使用新能源车。2020年底前，关中城市现有燃油公交车更新为新能源公交车，其中，2018年不少于40%，2019年不少于40%。</w:t>
      </w:r>
    </w:p>
    <w:p>
      <w:pPr>
        <w:pStyle w:val="2"/>
        <w:spacing w:line="580" w:lineRule="exact"/>
        <w:ind w:firstLine="640"/>
        <w:rPr>
          <w:rFonts w:eastAsia="仿宋_GB2312"/>
          <w:kern w:val="0"/>
          <w:sz w:val="32"/>
          <w:szCs w:val="32"/>
        </w:rPr>
      </w:pPr>
      <w:r>
        <w:rPr>
          <w:rFonts w:eastAsia="仿宋_GB2312"/>
          <w:kern w:val="0"/>
          <w:sz w:val="32"/>
          <w:szCs w:val="32"/>
        </w:rPr>
        <w:t>2018年7月，陕西省《关于印发推动汽车产业加快发展支持措施的通知》提出，加快全省公交、出租、物流等公共领域新能源汽车替换，对公共领域用车替换为新能源汽车的给予国家补贴标准30%的资金补贴。扩大甲醇、乙醇、氢燃料等汽车在全省推广应用。对于购买省内生产的甲醇、乙醇、氢燃料等汽车，重卡按每辆1万元补助，乘用车按每辆5000元补助。</w:t>
      </w:r>
    </w:p>
    <w:p>
      <w:pPr>
        <w:pStyle w:val="2"/>
        <w:spacing w:line="580" w:lineRule="exact"/>
        <w:ind w:firstLine="640"/>
        <w:rPr>
          <w:rFonts w:eastAsia="仿宋_GB2312"/>
          <w:kern w:val="0"/>
          <w:sz w:val="32"/>
          <w:szCs w:val="32"/>
        </w:rPr>
      </w:pPr>
      <w:r>
        <w:rPr>
          <w:rFonts w:eastAsia="仿宋_GB2312"/>
          <w:kern w:val="0"/>
          <w:sz w:val="32"/>
          <w:szCs w:val="32"/>
        </w:rPr>
        <w:t>2018年11月，陕西省发改委出台《陕西省电动汽车充电基础设施建设运营管理办法》（陕发改煤电〔2018〕1512号），为省内充电设施建设、运营等各方面提供了基本依据。</w:t>
      </w:r>
    </w:p>
    <w:p>
      <w:pPr>
        <w:pStyle w:val="2"/>
        <w:spacing w:line="580" w:lineRule="exact"/>
        <w:ind w:firstLine="640"/>
        <w:rPr>
          <w:rFonts w:eastAsia="仿宋_GB2312"/>
          <w:kern w:val="0"/>
          <w:sz w:val="32"/>
          <w:szCs w:val="32"/>
        </w:rPr>
      </w:pPr>
      <w:r>
        <w:rPr>
          <w:rFonts w:eastAsia="仿宋_GB2312"/>
          <w:kern w:val="0"/>
          <w:sz w:val="32"/>
          <w:szCs w:val="32"/>
        </w:rPr>
        <w:t>2019年6月，陕西省发改委印发《关于同意陕西智慧车联网平台参与电力直接交易的函》（陕发改电能函〔2019〕929号），通过采用电力交易方式降低充电电价，减轻行业成本。2020年1月，陕西省交通厅、财政厅、工信厅和省发改委联合印发《新能源公交车推广应用实施方案》，提出2020年至2024年，各市（区）每年新增、更新的常规公交车辆中，新能源公交车占比85%以上，根据实际情况减少新增燃油公交车。2020年底前，关中地区各市建成区公交车全部更换为新能源公交车。</w:t>
      </w:r>
    </w:p>
    <w:p>
      <w:pPr>
        <w:pStyle w:val="2"/>
        <w:spacing w:line="580" w:lineRule="exact"/>
        <w:ind w:firstLine="640"/>
        <w:rPr>
          <w:rFonts w:eastAsia="仿宋_GB2312"/>
          <w:kern w:val="0"/>
          <w:sz w:val="32"/>
          <w:szCs w:val="32"/>
        </w:rPr>
      </w:pPr>
      <w:r>
        <w:rPr>
          <w:rFonts w:eastAsia="仿宋_GB2312"/>
          <w:kern w:val="0"/>
          <w:sz w:val="32"/>
          <w:szCs w:val="32"/>
        </w:rPr>
        <w:t>2020年5月，陕西省《促进市场消费积极应对新冠肺炎疫情影响的若干措施》，提出</w:t>
      </w:r>
      <w:r>
        <w:rPr>
          <w:rFonts w:hint="eastAsia" w:eastAsia="仿宋_GB2312"/>
          <w:kern w:val="0"/>
          <w:sz w:val="32"/>
          <w:szCs w:val="32"/>
        </w:rPr>
        <w:t>“</w:t>
      </w:r>
      <w:r>
        <w:rPr>
          <w:rFonts w:eastAsia="仿宋_GB2312"/>
          <w:kern w:val="0"/>
          <w:sz w:val="32"/>
          <w:szCs w:val="32"/>
        </w:rPr>
        <w:t>鼓励购买新能源汽车</w:t>
      </w:r>
      <w:r>
        <w:rPr>
          <w:rFonts w:hint="eastAsia" w:eastAsia="仿宋_GB2312"/>
          <w:kern w:val="0"/>
          <w:sz w:val="32"/>
          <w:szCs w:val="32"/>
        </w:rPr>
        <w:t>”“</w:t>
      </w:r>
      <w:r>
        <w:rPr>
          <w:rFonts w:eastAsia="仿宋_GB2312"/>
          <w:kern w:val="0"/>
          <w:sz w:val="32"/>
          <w:szCs w:val="32"/>
        </w:rPr>
        <w:t>加大汽车消费基础设施建设</w:t>
      </w:r>
      <w:r>
        <w:rPr>
          <w:rFonts w:hint="eastAsia" w:eastAsia="仿宋_GB2312"/>
          <w:kern w:val="0"/>
          <w:sz w:val="32"/>
          <w:szCs w:val="32"/>
        </w:rPr>
        <w:t>”</w:t>
      </w:r>
      <w:r>
        <w:rPr>
          <w:rFonts w:eastAsia="仿宋_GB2312"/>
          <w:kern w:val="0"/>
          <w:sz w:val="32"/>
          <w:szCs w:val="32"/>
        </w:rPr>
        <w:t>等措施，要求认真落实国家政策，将新能源汽车购置补贴和免征购置税政策延续至2022年年底。有条件的市（区）对购买新能源公交车和燃料电池汽车，以及无车家庭购置首辆家用新能源汽车，可给予适当支持。加大汽车消费基础设施建设。将新建城市停车场和新能源汽车充电设施用地需求纳入国土空间规划，推动具备条件的地区使用存量集体建设用地建设停车场、充电站。支持建成小区停车位改造扩容，新建小区依据规定比例配置停车位。</w:t>
      </w:r>
    </w:p>
    <w:p>
      <w:pPr>
        <w:pStyle w:val="2"/>
        <w:spacing w:line="580" w:lineRule="exact"/>
        <w:ind w:firstLine="640"/>
        <w:rPr>
          <w:rFonts w:eastAsia="仿宋_GB2312"/>
          <w:kern w:val="0"/>
          <w:sz w:val="32"/>
          <w:szCs w:val="32"/>
        </w:rPr>
      </w:pPr>
      <w:r>
        <w:rPr>
          <w:rFonts w:eastAsia="仿宋_GB2312"/>
          <w:kern w:val="0"/>
          <w:sz w:val="32"/>
          <w:szCs w:val="32"/>
        </w:rPr>
        <w:t>2020年12月，陕西省发改委印发《关于加快充电设施建设实现互联互通有关问题的通知》，要求督促充电设施建设运营商企业加快接入陕西智慧车辆网平台，实现全省充电设施互联互通；提出省内各市政府不再单独组建市级平台，统一免费使用陕西智慧车联网平台。</w:t>
      </w:r>
    </w:p>
    <w:p>
      <w:pPr>
        <w:pStyle w:val="2"/>
        <w:spacing w:line="580" w:lineRule="exact"/>
        <w:ind w:firstLine="640"/>
        <w:rPr>
          <w:rFonts w:eastAsia="仿宋_GB2312"/>
          <w:kern w:val="0"/>
          <w:sz w:val="32"/>
          <w:szCs w:val="32"/>
        </w:rPr>
      </w:pPr>
      <w:r>
        <w:rPr>
          <w:rFonts w:hint="eastAsia" w:eastAsia="仿宋_GB2312"/>
          <w:kern w:val="0"/>
          <w:sz w:val="32"/>
          <w:szCs w:val="32"/>
        </w:rPr>
        <w:t>（2）</w:t>
      </w:r>
      <w:r>
        <w:rPr>
          <w:rFonts w:eastAsia="仿宋_GB2312"/>
          <w:kern w:val="0"/>
          <w:sz w:val="32"/>
          <w:szCs w:val="32"/>
        </w:rPr>
        <w:t>标准方面</w:t>
      </w:r>
    </w:p>
    <w:p>
      <w:pPr>
        <w:pStyle w:val="2"/>
        <w:spacing w:line="580" w:lineRule="exact"/>
        <w:ind w:firstLine="640"/>
        <w:rPr>
          <w:rFonts w:eastAsia="仿宋_GB2312"/>
          <w:kern w:val="0"/>
          <w:sz w:val="32"/>
          <w:szCs w:val="32"/>
        </w:rPr>
      </w:pPr>
      <w:r>
        <w:rPr>
          <w:rFonts w:eastAsia="仿宋_GB2312"/>
          <w:kern w:val="0"/>
          <w:sz w:val="32"/>
          <w:szCs w:val="32"/>
        </w:rPr>
        <w:t>2019年10月，出台陕西省地方标准《充电加油加气合建站充电设施技术要求》（DB61/T1275-2019），为省内结合加油加气站场地资源建设充电设施提供了技术依据。</w:t>
      </w:r>
    </w:p>
    <w:p>
      <w:pPr>
        <w:pStyle w:val="5"/>
        <w:spacing w:line="580" w:lineRule="exact"/>
        <w:ind w:firstLine="643"/>
      </w:pPr>
      <w:r>
        <w:rPr>
          <w:rFonts w:hint="eastAsia"/>
        </w:rPr>
        <w:t>2.地市层面</w:t>
      </w:r>
    </w:p>
    <w:p>
      <w:pPr>
        <w:pStyle w:val="2"/>
        <w:spacing w:line="580" w:lineRule="exact"/>
        <w:ind w:firstLine="640"/>
        <w:rPr>
          <w:rFonts w:eastAsia="仿宋_GB2312"/>
          <w:kern w:val="0"/>
          <w:sz w:val="32"/>
          <w:szCs w:val="32"/>
        </w:rPr>
      </w:pPr>
      <w:r>
        <w:rPr>
          <w:rFonts w:hint="eastAsia" w:eastAsia="仿宋_GB2312"/>
          <w:kern w:val="0"/>
          <w:sz w:val="32"/>
          <w:szCs w:val="32"/>
        </w:rPr>
        <w:t>（1）</w:t>
      </w:r>
      <w:r>
        <w:rPr>
          <w:rFonts w:eastAsia="仿宋_GB2312"/>
          <w:kern w:val="0"/>
          <w:sz w:val="32"/>
          <w:szCs w:val="32"/>
        </w:rPr>
        <w:t>西安市</w:t>
      </w:r>
    </w:p>
    <w:p>
      <w:pPr>
        <w:pStyle w:val="2"/>
        <w:spacing w:line="580" w:lineRule="exact"/>
        <w:ind w:firstLine="640"/>
        <w:rPr>
          <w:rFonts w:eastAsia="仿宋_GB2312"/>
          <w:kern w:val="0"/>
          <w:sz w:val="32"/>
          <w:szCs w:val="32"/>
        </w:rPr>
      </w:pPr>
      <w:r>
        <w:rPr>
          <w:rFonts w:eastAsia="仿宋_GB2312"/>
          <w:kern w:val="0"/>
          <w:sz w:val="32"/>
          <w:szCs w:val="32"/>
        </w:rPr>
        <w:t>2018年5月，西安市印发《新能源汽车推广应用地方财政补贴资金管理暂行办法》，规定了相关补贴政策。一是车辆补贴标准方面：免征车辆购置税，免征车船税；对单位和个人购买新能源汽车的，以享受的中央补贴为基数，公共服务领域的单车按1：0.5给予地方补贴，非公共服务领域的单车按1：0.3给予地方补贴；对单位和个人购买新能源汽车的，首次机动车交通事故责任强制保险费用给予全额财政补贴;对新能源汽车免收125元/辆的牌照费；对具有西安户籍或持有西安市《居住证》，近两年内连续缴纳社保满1年以上，购买新能源汽车的个人，给予1万元/辆财政补贴，用于自用充电设施安装和充电费用补贴。二是充（换）电设施补贴标准方面：对建设完成，通过验收并正式投用的充电设施，给予充（换）电设施实际投资（不含征地费用）30%的财政补贴。地方财政补贴（地方各级财政补贴总和）不超过中央财政单车补贴额的50%，超额部分市财政将予以扣回。</w:t>
      </w:r>
    </w:p>
    <w:p>
      <w:pPr>
        <w:pStyle w:val="2"/>
        <w:spacing w:line="580" w:lineRule="exact"/>
        <w:ind w:firstLine="640"/>
        <w:rPr>
          <w:rFonts w:eastAsia="仿宋_GB2312"/>
          <w:kern w:val="0"/>
          <w:sz w:val="32"/>
          <w:szCs w:val="32"/>
        </w:rPr>
      </w:pPr>
      <w:r>
        <w:rPr>
          <w:rFonts w:eastAsia="仿宋_GB2312"/>
          <w:kern w:val="0"/>
          <w:sz w:val="32"/>
          <w:szCs w:val="32"/>
        </w:rPr>
        <w:t>2020年9月，西安市印发《推进新能源汽车充电基础设施建设三年行动方案（2020—2022年）》，明确到2022年底，全市基本建成适度超前、车桩相宜、智能高效的充电基础设施体系，确保满足新能源电动汽车充电服务需求。全市计划新建成投运集中式充电场站200个、充电桩10000个，其中2020年完成3900个，2021年完成3290个，2022年完成2810个。新建住宅配建的停车场，应设置30%的新能源汽车充电车位，100%预留充电设施安装和在车位附近敷设低压线缆及安装电缆分线箱；大型公共建筑物配建停车场和社会公共停车场，应设置10%的新能源汽车充电车位，预留总车位数量30%的配电容量。</w:t>
      </w:r>
    </w:p>
    <w:p>
      <w:pPr>
        <w:pStyle w:val="2"/>
        <w:spacing w:line="580" w:lineRule="exact"/>
        <w:ind w:firstLine="640"/>
        <w:rPr>
          <w:rFonts w:eastAsia="仿宋_GB2312"/>
          <w:kern w:val="0"/>
          <w:sz w:val="32"/>
          <w:szCs w:val="32"/>
        </w:rPr>
      </w:pPr>
      <w:r>
        <w:rPr>
          <w:rFonts w:eastAsia="仿宋_GB2312"/>
          <w:kern w:val="0"/>
          <w:sz w:val="32"/>
          <w:szCs w:val="32"/>
        </w:rPr>
        <w:t>2020年12月，西安市印发《西安市新能源汽车充（换）电基础设施运营财政补贴实施细则》，提出对2020年9月25日</w:t>
      </w:r>
      <w:r>
        <w:rPr>
          <w:rFonts w:hint="eastAsia" w:eastAsia="仿宋_GB2312"/>
          <w:kern w:val="0"/>
          <w:sz w:val="32"/>
          <w:szCs w:val="32"/>
        </w:rPr>
        <w:t>之后</w:t>
      </w:r>
      <w:r>
        <w:rPr>
          <w:rFonts w:eastAsia="仿宋_GB2312"/>
          <w:kern w:val="0"/>
          <w:sz w:val="32"/>
          <w:szCs w:val="32"/>
        </w:rPr>
        <w:t>建成并通过验收投运的公（专）用充（换）电设施，根据接入市级平台充电交易信息记录的用电量给予补贴，市级补贴标准为0.15元/度，开发区在此基础上再给予0.15元/度的补贴，其他区县根据实际情况在市级补贴基础上再进行补贴。对建设完成并通过验收的个人充电设施，由市财政给予1万元/根的一次性建设及电费补贴。</w:t>
      </w:r>
    </w:p>
    <w:p>
      <w:pPr>
        <w:pStyle w:val="2"/>
        <w:spacing w:line="580" w:lineRule="exact"/>
        <w:ind w:firstLine="640"/>
        <w:rPr>
          <w:rFonts w:ascii="仿宋_GB2312" w:eastAsia="仿宋_GB2312"/>
          <w:kern w:val="0"/>
          <w:sz w:val="32"/>
          <w:szCs w:val="32"/>
        </w:rPr>
      </w:pPr>
      <w:r>
        <w:rPr>
          <w:rFonts w:hint="eastAsia" w:ascii="仿宋_GB2312" w:eastAsia="仿宋_GB2312"/>
          <w:kern w:val="0"/>
          <w:sz w:val="32"/>
          <w:szCs w:val="32"/>
        </w:rPr>
        <w:t>（2）其他地市</w:t>
      </w:r>
    </w:p>
    <w:p>
      <w:pPr>
        <w:pStyle w:val="2"/>
        <w:spacing w:line="580" w:lineRule="exact"/>
        <w:ind w:firstLine="640"/>
        <w:rPr>
          <w:rFonts w:ascii="仿宋_GB2312" w:eastAsia="仿宋_GB2312"/>
          <w:kern w:val="0"/>
          <w:sz w:val="32"/>
          <w:szCs w:val="32"/>
        </w:rPr>
      </w:pPr>
      <w:r>
        <w:rPr>
          <w:rFonts w:hint="eastAsia" w:ascii="仿宋_GB2312" w:eastAsia="仿宋_GB2312"/>
          <w:kern w:val="0"/>
          <w:sz w:val="32"/>
          <w:szCs w:val="32"/>
        </w:rPr>
        <w:t>省内其他地市落实中省要求，结合自身情况，制定了各自的充电设施发展目标，给予了充电设施发展一定的优惠政策。</w:t>
      </w:r>
    </w:p>
    <w:p>
      <w:pPr>
        <w:pStyle w:val="3"/>
        <w:spacing w:line="580" w:lineRule="exact"/>
        <w:ind w:firstLine="643"/>
      </w:pPr>
      <w:bookmarkStart w:id="19" w:name="_Toc47622919"/>
      <w:bookmarkStart w:id="20" w:name="_Toc8036"/>
      <w:bookmarkStart w:id="21" w:name="_Toc19617"/>
      <w:r>
        <w:rPr>
          <w:rFonts w:hint="eastAsia"/>
        </w:rPr>
        <w:t>二、面临的形势</w:t>
      </w:r>
      <w:bookmarkEnd w:id="19"/>
      <w:r>
        <w:rPr>
          <w:rFonts w:hint="eastAsia"/>
        </w:rPr>
        <w:t>及存在的问题</w:t>
      </w:r>
      <w:bookmarkEnd w:id="20"/>
      <w:bookmarkEnd w:id="21"/>
    </w:p>
    <w:p>
      <w:pPr>
        <w:pStyle w:val="4"/>
        <w:spacing w:line="580" w:lineRule="exact"/>
        <w:ind w:firstLine="643"/>
        <w:rPr>
          <w:rFonts w:ascii="仿宋" w:hAnsi="仿宋" w:eastAsia="仿宋" w:cs="仿宋"/>
          <w:b w:val="0"/>
          <w:szCs w:val="40"/>
        </w:rPr>
      </w:pPr>
      <w:bookmarkStart w:id="22" w:name="_Toc23058"/>
      <w:bookmarkStart w:id="23" w:name="_Toc22172"/>
      <w:r>
        <w:t>（</w:t>
      </w:r>
      <w:r>
        <w:rPr>
          <w:rFonts w:hint="eastAsia"/>
        </w:rPr>
        <w:t>一</w:t>
      </w:r>
      <w:r>
        <w:t>）</w:t>
      </w:r>
      <w:r>
        <w:rPr>
          <w:rFonts w:hint="eastAsia"/>
        </w:rPr>
        <w:t>面临的形势</w:t>
      </w:r>
      <w:bookmarkEnd w:id="22"/>
      <w:bookmarkEnd w:id="23"/>
    </w:p>
    <w:p>
      <w:pPr>
        <w:pStyle w:val="2"/>
        <w:spacing w:line="580" w:lineRule="exact"/>
        <w:ind w:firstLine="640"/>
        <w:rPr>
          <w:rFonts w:ascii="仿宋_GB2312" w:eastAsia="仿宋_GB2312"/>
          <w:kern w:val="0"/>
          <w:sz w:val="32"/>
          <w:szCs w:val="32"/>
        </w:rPr>
      </w:pPr>
      <w:r>
        <w:rPr>
          <w:rFonts w:hint="eastAsia" w:ascii="仿宋_GB2312" w:eastAsia="仿宋_GB2312"/>
          <w:kern w:val="0"/>
          <w:sz w:val="32"/>
          <w:szCs w:val="32"/>
        </w:rPr>
        <w:t>《中华人民共和国国民经济和社会发展第十四个五年规划和二〇三五年远景目标纲要》要求加快推动绿色低碳发展，深入实施可持续发展战略，构建生态文明体系，促进经济社会发展全面绿色转型；提出降低碳排放强度，支持有条件的地方率先达到碳排放峰值，制定二〇三〇年前碳排放达峰行动方案。</w:t>
      </w:r>
    </w:p>
    <w:p>
      <w:pPr>
        <w:pStyle w:val="2"/>
        <w:spacing w:line="580" w:lineRule="exact"/>
        <w:ind w:firstLine="640"/>
        <w:rPr>
          <w:rFonts w:eastAsia="仿宋_GB2312"/>
          <w:kern w:val="0"/>
          <w:sz w:val="32"/>
          <w:szCs w:val="32"/>
        </w:rPr>
      </w:pPr>
      <w:r>
        <w:rPr>
          <w:rFonts w:eastAsia="仿宋_GB2312"/>
          <w:kern w:val="0"/>
          <w:sz w:val="32"/>
          <w:szCs w:val="32"/>
        </w:rPr>
        <w:t>在2020年9月联合国大会上，中国宣布将采取更加有力的政策和措施，力争二氧化</w:t>
      </w:r>
      <w:r>
        <w:fldChar w:fldCharType="begin"/>
      </w:r>
      <w:r>
        <w:instrText xml:space="preserve"> HYPERLINK "https://wx.mail.qq.com/xmspamcheck/xmsafejump?func=1&amp;check_src=2&amp;key=MTb3H6zllyo2HkiIZXz4qn7aKsE9qRGOasIuj1nO%2Bwu1PPj6CW7juv7yyWkeeCk3S2kLMKX8VL7rLGt6LkWNFecYz5NXW8HubO8NOj10Gby5b178qk%2FqU%2Fk%3D&amp;spam_err_code=0" \t "http://www.tanpaifang.com/tanzhonghe/2020/0923/_blank" </w:instrText>
      </w:r>
      <w:r>
        <w:fldChar w:fldCharType="separate"/>
      </w:r>
      <w:r>
        <w:rPr>
          <w:rFonts w:eastAsia="仿宋_GB2312"/>
          <w:kern w:val="0"/>
          <w:sz w:val="32"/>
          <w:szCs w:val="32"/>
        </w:rPr>
        <w:t>碳排放</w:t>
      </w:r>
      <w:r>
        <w:rPr>
          <w:rFonts w:eastAsia="仿宋_GB2312"/>
          <w:kern w:val="0"/>
          <w:sz w:val="32"/>
          <w:szCs w:val="32"/>
        </w:rPr>
        <w:fldChar w:fldCharType="end"/>
      </w:r>
      <w:r>
        <w:rPr>
          <w:rFonts w:eastAsia="仿宋_GB2312"/>
          <w:kern w:val="0"/>
          <w:sz w:val="32"/>
          <w:szCs w:val="32"/>
        </w:rPr>
        <w:t>于2030年前达到峰值，努力争取2060年前实现</w:t>
      </w:r>
      <w:r>
        <w:fldChar w:fldCharType="begin"/>
      </w:r>
      <w:r>
        <w:instrText xml:space="preserve"> HYPERLINK "https://wx.mail.qq.com/xmspamcheck/xmsafejump?func=1&amp;check_src=2&amp;key=Nt0b7CMd90A5gpHw19r5g%2Ben5ztUCaYNerEzrwvzUwjiNnN01tCScAFcILjXa9Z%2Fx5xD63%2B8ocLz6JNF0Fqxrgyl2m0CxEPIe51delmJRAZVl9yWdyJxFhpheFzGmqvW4A%3D%3D&amp;spam_err_code=0" \t "http://www.tanpaifang.com/tanzhonghe/2020/0923/_blank" </w:instrText>
      </w:r>
      <w:r>
        <w:fldChar w:fldCharType="separate"/>
      </w:r>
      <w:r>
        <w:rPr>
          <w:rFonts w:eastAsia="仿宋_GB2312"/>
          <w:kern w:val="0"/>
          <w:sz w:val="32"/>
          <w:szCs w:val="32"/>
        </w:rPr>
        <w:t>碳中和</w:t>
      </w:r>
      <w:r>
        <w:rPr>
          <w:rFonts w:eastAsia="仿宋_GB2312"/>
          <w:kern w:val="0"/>
          <w:sz w:val="32"/>
          <w:szCs w:val="32"/>
        </w:rPr>
        <w:fldChar w:fldCharType="end"/>
      </w:r>
      <w:r>
        <w:rPr>
          <w:rFonts w:eastAsia="仿宋_GB2312"/>
          <w:kern w:val="0"/>
          <w:sz w:val="32"/>
          <w:szCs w:val="32"/>
        </w:rPr>
        <w:t>，即二氧化碳排放量和吸收量达到平衡。</w:t>
      </w:r>
    </w:p>
    <w:p>
      <w:pPr>
        <w:pStyle w:val="2"/>
        <w:spacing w:line="580" w:lineRule="exact"/>
        <w:ind w:firstLine="640"/>
        <w:rPr>
          <w:rFonts w:ascii="仿宋_GB2312" w:eastAsia="仿宋_GB2312"/>
          <w:kern w:val="0"/>
          <w:sz w:val="32"/>
          <w:szCs w:val="32"/>
        </w:rPr>
      </w:pPr>
      <w:r>
        <w:rPr>
          <w:rFonts w:hint="eastAsia" w:ascii="仿宋_GB2312" w:eastAsia="仿宋_GB2312"/>
          <w:kern w:val="0"/>
          <w:sz w:val="32"/>
          <w:szCs w:val="32"/>
        </w:rPr>
        <w:t>陕西省落实国家要求，《</w:t>
      </w:r>
      <w:r>
        <w:rPr>
          <w:rFonts w:ascii="仿宋_GB2312" w:eastAsia="仿宋_GB2312"/>
          <w:kern w:val="0"/>
          <w:sz w:val="32"/>
          <w:szCs w:val="32"/>
        </w:rPr>
        <w:t>陕西省国民经济和社会发展第十四个五年规划和二〇三五年远景目标</w:t>
      </w:r>
      <w:r>
        <w:rPr>
          <w:rFonts w:hint="eastAsia" w:ascii="仿宋_GB2312" w:eastAsia="仿宋_GB2312"/>
          <w:kern w:val="0"/>
          <w:sz w:val="32"/>
          <w:szCs w:val="32"/>
        </w:rPr>
        <w:t>纲要》提出要</w:t>
      </w:r>
      <w:r>
        <w:rPr>
          <w:rFonts w:ascii="仿宋_GB2312" w:eastAsia="仿宋_GB2312"/>
          <w:kern w:val="0"/>
          <w:sz w:val="32"/>
          <w:szCs w:val="32"/>
        </w:rPr>
        <w:t>加快推</w:t>
      </w:r>
      <w:r>
        <w:rPr>
          <w:rFonts w:hint="eastAsia" w:ascii="仿宋_GB2312" w:eastAsia="仿宋_GB2312"/>
          <w:kern w:val="0"/>
          <w:sz w:val="32"/>
          <w:szCs w:val="32"/>
        </w:rPr>
        <w:t>动</w:t>
      </w:r>
      <w:r>
        <w:rPr>
          <w:rFonts w:ascii="仿宋_GB2312" w:eastAsia="仿宋_GB2312"/>
          <w:kern w:val="0"/>
          <w:sz w:val="32"/>
          <w:szCs w:val="32"/>
        </w:rPr>
        <w:t>绿色低碳发展</w:t>
      </w:r>
      <w:r>
        <w:rPr>
          <w:rFonts w:hint="eastAsia" w:ascii="仿宋_GB2312" w:eastAsia="仿宋_GB2312"/>
          <w:kern w:val="0"/>
          <w:sz w:val="32"/>
          <w:szCs w:val="32"/>
        </w:rPr>
        <w:t>，把</w:t>
      </w:r>
      <w:r>
        <w:rPr>
          <w:rFonts w:ascii="仿宋_GB2312" w:eastAsia="仿宋_GB2312"/>
          <w:kern w:val="0"/>
          <w:sz w:val="32"/>
          <w:szCs w:val="32"/>
        </w:rPr>
        <w:t>绿色发展融入国民经济发展全过程，深入推进能源生产和消费革命</w:t>
      </w:r>
      <w:r>
        <w:rPr>
          <w:rFonts w:hint="eastAsia" w:ascii="仿宋_GB2312" w:eastAsia="仿宋_GB2312"/>
          <w:kern w:val="0"/>
          <w:sz w:val="32"/>
          <w:szCs w:val="32"/>
        </w:rPr>
        <w:t>，</w:t>
      </w:r>
      <w:r>
        <w:rPr>
          <w:rFonts w:ascii="仿宋_GB2312" w:eastAsia="仿宋_GB2312"/>
          <w:kern w:val="0"/>
          <w:sz w:val="32"/>
          <w:szCs w:val="32"/>
        </w:rPr>
        <w:t>推进碳排放权</w:t>
      </w:r>
      <w:r>
        <w:rPr>
          <w:rFonts w:hint="eastAsia" w:ascii="仿宋_GB2312" w:eastAsia="仿宋_GB2312"/>
          <w:kern w:val="0"/>
          <w:sz w:val="32"/>
          <w:szCs w:val="32"/>
        </w:rPr>
        <w:t>等</w:t>
      </w:r>
      <w:r>
        <w:rPr>
          <w:rFonts w:ascii="仿宋_GB2312" w:eastAsia="仿宋_GB2312"/>
          <w:kern w:val="0"/>
          <w:sz w:val="32"/>
          <w:szCs w:val="32"/>
        </w:rPr>
        <w:t>市场化交易</w:t>
      </w:r>
      <w:r>
        <w:rPr>
          <w:rFonts w:hint="eastAsia" w:ascii="仿宋_GB2312" w:eastAsia="仿宋_GB2312"/>
          <w:kern w:val="0"/>
          <w:sz w:val="32"/>
          <w:szCs w:val="32"/>
        </w:rPr>
        <w:t>，</w:t>
      </w:r>
      <w:r>
        <w:rPr>
          <w:rFonts w:ascii="仿宋_GB2312" w:eastAsia="仿宋_GB2312"/>
          <w:kern w:val="0"/>
          <w:sz w:val="32"/>
          <w:szCs w:val="32"/>
        </w:rPr>
        <w:t>加快能源消费和产业结构低碳化调整，大幅降低能源、水、土地消耗强度</w:t>
      </w:r>
      <w:r>
        <w:rPr>
          <w:rFonts w:hint="eastAsia" w:ascii="仿宋_GB2312" w:eastAsia="仿宋_GB2312"/>
          <w:kern w:val="0"/>
          <w:sz w:val="32"/>
          <w:szCs w:val="32"/>
        </w:rPr>
        <w:t>；</w:t>
      </w:r>
      <w:r>
        <w:rPr>
          <w:rFonts w:ascii="仿宋_GB2312" w:eastAsia="仿宋_GB2312"/>
          <w:kern w:val="0"/>
          <w:sz w:val="32"/>
          <w:szCs w:val="32"/>
        </w:rPr>
        <w:t>倡导绿色低碳的生活方式。</w:t>
      </w:r>
    </w:p>
    <w:p>
      <w:pPr>
        <w:pStyle w:val="2"/>
        <w:spacing w:line="580" w:lineRule="exact"/>
        <w:ind w:firstLine="640"/>
        <w:rPr>
          <w:rFonts w:eastAsia="仿宋_GB2312"/>
          <w:kern w:val="0"/>
          <w:sz w:val="32"/>
          <w:szCs w:val="32"/>
        </w:rPr>
      </w:pPr>
      <w:r>
        <w:rPr>
          <w:rFonts w:eastAsia="仿宋_GB2312"/>
          <w:kern w:val="0"/>
          <w:sz w:val="32"/>
          <w:szCs w:val="32"/>
        </w:rPr>
        <w:t>国家《新能源汽车产业发展规划（2021－2035年）》指出，发展新能源汽车是我国应对气候变化、推动绿色发展的战略举措。该项规划提出到2025年，新能源汽车新车销售量达到汽车新车销售总量的20%左右。</w:t>
      </w:r>
    </w:p>
    <w:p>
      <w:pPr>
        <w:pStyle w:val="2"/>
        <w:spacing w:line="580" w:lineRule="exact"/>
        <w:ind w:firstLine="640"/>
        <w:rPr>
          <w:rFonts w:eastAsia="仿宋_GB2312"/>
          <w:kern w:val="0"/>
          <w:sz w:val="32"/>
          <w:szCs w:val="32"/>
        </w:rPr>
      </w:pPr>
      <w:r>
        <w:rPr>
          <w:rFonts w:eastAsia="仿宋_GB2312"/>
          <w:kern w:val="0"/>
          <w:sz w:val="32"/>
          <w:szCs w:val="32"/>
        </w:rPr>
        <w:t>展望</w:t>
      </w:r>
      <w:r>
        <w:rPr>
          <w:rFonts w:hint="eastAsia" w:eastAsia="仿宋_GB2312"/>
          <w:kern w:val="0"/>
          <w:sz w:val="32"/>
          <w:szCs w:val="32"/>
        </w:rPr>
        <w:t>“</w:t>
      </w:r>
      <w:r>
        <w:rPr>
          <w:rFonts w:eastAsia="仿宋_GB2312"/>
          <w:kern w:val="0"/>
          <w:sz w:val="32"/>
          <w:szCs w:val="32"/>
        </w:rPr>
        <w:t>十四五</w:t>
      </w:r>
      <w:r>
        <w:rPr>
          <w:rFonts w:hint="eastAsia" w:eastAsia="仿宋_GB2312"/>
          <w:kern w:val="0"/>
          <w:sz w:val="32"/>
          <w:szCs w:val="32"/>
        </w:rPr>
        <w:t>”</w:t>
      </w:r>
      <w:r>
        <w:rPr>
          <w:rFonts w:eastAsia="仿宋_GB2312"/>
          <w:kern w:val="0"/>
          <w:sz w:val="32"/>
          <w:szCs w:val="32"/>
        </w:rPr>
        <w:t>，绿色转型、低碳发展理念成为共识，经济社会将逐步转向可持续发展，能源、工业生产、建筑、交通等重点领域需要加快研究降低碳排放措施。新能源</w:t>
      </w:r>
      <w:r>
        <w:rPr>
          <w:rFonts w:hint="eastAsia" w:eastAsia="仿宋_GB2312"/>
          <w:kern w:val="0"/>
          <w:sz w:val="32"/>
          <w:szCs w:val="32"/>
        </w:rPr>
        <w:t>汽车是能源替代的重要途径，</w:t>
      </w:r>
      <w:r>
        <w:rPr>
          <w:rFonts w:eastAsia="仿宋_GB2312"/>
          <w:kern w:val="0"/>
          <w:sz w:val="32"/>
          <w:szCs w:val="32"/>
        </w:rPr>
        <w:t>随着新能源发电规模不断增加、比例不断提升，新能源汽车可以通过与电网的能量互动，大规模消纳使用新能源电，使新能源汽车与能源融合发展，成为实现碳中和目标的重要途径。因此</w:t>
      </w:r>
      <w:r>
        <w:rPr>
          <w:rFonts w:hint="eastAsia" w:eastAsia="仿宋_GB2312"/>
          <w:kern w:val="0"/>
          <w:sz w:val="32"/>
          <w:szCs w:val="32"/>
        </w:rPr>
        <w:t>“</w:t>
      </w:r>
      <w:r>
        <w:rPr>
          <w:rFonts w:eastAsia="仿宋_GB2312"/>
          <w:kern w:val="0"/>
          <w:sz w:val="32"/>
          <w:szCs w:val="32"/>
        </w:rPr>
        <w:t>十四五</w:t>
      </w:r>
      <w:r>
        <w:rPr>
          <w:rFonts w:hint="eastAsia" w:eastAsia="仿宋_GB2312"/>
          <w:kern w:val="0"/>
          <w:sz w:val="32"/>
          <w:szCs w:val="32"/>
        </w:rPr>
        <w:t>”</w:t>
      </w:r>
      <w:r>
        <w:rPr>
          <w:rFonts w:eastAsia="仿宋_GB2312"/>
          <w:kern w:val="0"/>
          <w:sz w:val="32"/>
          <w:szCs w:val="32"/>
        </w:rPr>
        <w:t>期间要继续大力推进电动汽车及充电设施行业发展，继续加快构建完善的充电基础设施体系，提升充电基础设施智能服务水平，保障充电安全、便捷；同时大力推动电动汽车与电网能量互动，统筹新能源汽车能源利用与可再生能源发电协同调度，综合运用峰谷电价、新能源汽车充电优惠等政策，促进新能源汽车与可再生能源高效协同发展。</w:t>
      </w:r>
    </w:p>
    <w:p>
      <w:pPr>
        <w:pStyle w:val="4"/>
        <w:spacing w:line="580" w:lineRule="exact"/>
        <w:ind w:firstLine="643"/>
        <w:rPr>
          <w:rFonts w:ascii="仿宋" w:hAnsi="仿宋" w:eastAsia="仿宋" w:cs="仿宋"/>
          <w:b w:val="0"/>
          <w:szCs w:val="40"/>
        </w:rPr>
      </w:pPr>
      <w:bookmarkStart w:id="24" w:name="_Toc28586"/>
      <w:bookmarkStart w:id="25" w:name="_Toc21132"/>
      <w:r>
        <w:t>（</w:t>
      </w:r>
      <w:r>
        <w:rPr>
          <w:rFonts w:hint="eastAsia"/>
        </w:rPr>
        <w:t>二</w:t>
      </w:r>
      <w:r>
        <w:t>）</w:t>
      </w:r>
      <w:r>
        <w:rPr>
          <w:rFonts w:hint="eastAsia"/>
        </w:rPr>
        <w:t>存在的问题</w:t>
      </w:r>
      <w:bookmarkEnd w:id="24"/>
      <w:bookmarkEnd w:id="25"/>
    </w:p>
    <w:p>
      <w:pPr>
        <w:pStyle w:val="2"/>
        <w:spacing w:line="580" w:lineRule="exact"/>
        <w:ind w:firstLine="640"/>
        <w:rPr>
          <w:rFonts w:ascii="仿宋_GB2312" w:eastAsia="仿宋_GB2312"/>
          <w:kern w:val="0"/>
          <w:sz w:val="32"/>
          <w:szCs w:val="32"/>
        </w:rPr>
      </w:pPr>
      <w:r>
        <w:rPr>
          <w:rFonts w:hint="eastAsia" w:ascii="仿宋_GB2312" w:eastAsia="仿宋_GB2312"/>
          <w:kern w:val="0"/>
          <w:sz w:val="32"/>
          <w:szCs w:val="32"/>
        </w:rPr>
        <w:t>陕西省内出台的一系列政策有力的支持和推动了省内电动汽车的推广和各类充电设施建设，“十三五”期间取得了长足进步，为今后的发展奠定了坚实基础。但总体来看，省内汽车电动化率较低，消费者对电动汽车仍持观望态度，省内电动汽车发展还处于爬坡提升阶段；充电设施建设成本较高、收益不稳定，场地选址困难，建设涉及部门多、协调难度大，充电设施行业发展对政策依赖性较大，面对国家提出的各项发展目标，陕西省推广普及电动汽车、建好充电设施网络仍面临多方面问题。</w:t>
      </w:r>
    </w:p>
    <w:p>
      <w:pPr>
        <w:pStyle w:val="2"/>
        <w:spacing w:line="580" w:lineRule="exact"/>
        <w:ind w:firstLine="643"/>
        <w:rPr>
          <w:rFonts w:ascii="仿宋_GB2312" w:eastAsia="仿宋_GB2312"/>
          <w:kern w:val="0"/>
          <w:sz w:val="32"/>
          <w:szCs w:val="32"/>
        </w:rPr>
      </w:pPr>
      <w:r>
        <w:rPr>
          <w:rFonts w:eastAsia="仿宋_GB2312"/>
          <w:b/>
          <w:kern w:val="0"/>
          <w:sz w:val="32"/>
          <w:szCs w:val="32"/>
        </w:rPr>
        <w:t>1.</w:t>
      </w:r>
      <w:r>
        <w:rPr>
          <w:rFonts w:hint="eastAsia" w:ascii="仿宋_GB2312" w:eastAsia="仿宋_GB2312"/>
          <w:b/>
          <w:kern w:val="0"/>
          <w:sz w:val="32"/>
          <w:szCs w:val="32"/>
        </w:rPr>
        <w:t>充电设施网络体系尚待完善。</w:t>
      </w:r>
      <w:r>
        <w:rPr>
          <w:rFonts w:hint="eastAsia" w:ascii="仿宋_GB2312" w:eastAsia="仿宋_GB2312"/>
          <w:kern w:val="0"/>
          <w:sz w:val="32"/>
          <w:szCs w:val="32"/>
        </w:rPr>
        <w:t>受自然条件、经济条件等因素影响，省内电动汽车集中于关中地区尤其是西安市，各类充电设施相应集中于西安市，集聚发展有效提升了行业初期的规模化水平和经济效益；在建成的各类充电设施中，类型上以公用为主，专用为辅，布局上主要分布在城市及其周边区域，主要保障城区范围内电动汽车充电需求。随着电动汽车进一步推广，充电设施不仅要满足城区范围充电方便快捷，还要满足日益增加的乡村及城际出行充电需求，布局要适度超前，以构建完善的充电设施网络体系，充分发挥支撑、引导、推进作用，促进省内电动汽车从西安到关中、从关中到陕北、陕南和从城市到乡村的推广。</w:t>
      </w:r>
    </w:p>
    <w:p>
      <w:pPr>
        <w:pStyle w:val="2"/>
        <w:spacing w:line="580" w:lineRule="exact"/>
        <w:ind w:firstLine="643"/>
        <w:rPr>
          <w:rFonts w:ascii="仿宋_GB2312" w:eastAsia="仿宋_GB2312"/>
          <w:kern w:val="0"/>
          <w:sz w:val="32"/>
          <w:szCs w:val="32"/>
        </w:rPr>
      </w:pPr>
      <w:r>
        <w:rPr>
          <w:rFonts w:eastAsia="仿宋_GB2312"/>
          <w:b/>
          <w:kern w:val="0"/>
          <w:sz w:val="32"/>
          <w:szCs w:val="32"/>
        </w:rPr>
        <w:t>2.</w:t>
      </w:r>
      <w:r>
        <w:rPr>
          <w:rFonts w:hint="eastAsia" w:ascii="仿宋_GB2312" w:eastAsia="仿宋_GB2312"/>
          <w:b/>
          <w:kern w:val="0"/>
          <w:sz w:val="32"/>
          <w:szCs w:val="32"/>
        </w:rPr>
        <w:t>多渠道解决私人自用充电桩建设问题。</w:t>
      </w:r>
      <w:r>
        <w:rPr>
          <w:rFonts w:hint="eastAsia" w:ascii="仿宋_GB2312" w:eastAsia="仿宋_GB2312"/>
          <w:kern w:val="0"/>
          <w:sz w:val="32"/>
          <w:szCs w:val="32"/>
        </w:rPr>
        <w:t>在当前的电动汽车技术发展现状和私人电动汽车日常使用场景下，居住地充电是较为适宜的电能补充方式。但是现有小区由于物业不配合、无固定停车位、变压器容量有限、改造空间受限等诸多因素，实现私人电动乘用车达到车桩比</w:t>
      </w:r>
      <w:r>
        <w:rPr>
          <w:rFonts w:eastAsia="仿宋_GB2312"/>
          <w:kern w:val="0"/>
          <w:sz w:val="32"/>
          <w:szCs w:val="32"/>
        </w:rPr>
        <w:t>1:1</w:t>
      </w:r>
      <w:r>
        <w:rPr>
          <w:rFonts w:hint="eastAsia" w:ascii="仿宋_GB2312" w:eastAsia="仿宋_GB2312"/>
          <w:kern w:val="0"/>
          <w:sz w:val="32"/>
          <w:szCs w:val="32"/>
        </w:rPr>
        <w:t>仍有一定差距；新建小区停车位配建充电桩没有列入小区验收范围，制约了私人电动汽车使用便捷性。需要加强新建小区验收管理，运用有序充电等技术手段解决现有小区变压器容量不足问题，加强对小区物业管理和规范，引导各方参与建设小区内公共共享充电设施，加快制定地下车库充电设施防火规范。</w:t>
      </w:r>
    </w:p>
    <w:p>
      <w:pPr>
        <w:pStyle w:val="2"/>
        <w:spacing w:line="580" w:lineRule="exact"/>
        <w:ind w:firstLine="643"/>
        <w:rPr>
          <w:rFonts w:ascii="仿宋_GB2312" w:eastAsia="仿宋_GB2312"/>
          <w:kern w:val="0"/>
          <w:sz w:val="32"/>
          <w:szCs w:val="32"/>
        </w:rPr>
      </w:pPr>
      <w:r>
        <w:rPr>
          <w:rFonts w:eastAsia="仿宋_GB2312"/>
          <w:b/>
          <w:kern w:val="0"/>
          <w:sz w:val="32"/>
          <w:szCs w:val="32"/>
        </w:rPr>
        <w:t>3.</w:t>
      </w:r>
      <w:r>
        <w:rPr>
          <w:rFonts w:hint="eastAsia" w:ascii="仿宋_GB2312" w:eastAsia="仿宋_GB2312"/>
          <w:b/>
          <w:kern w:val="0"/>
          <w:sz w:val="32"/>
          <w:szCs w:val="32"/>
        </w:rPr>
        <w:t>加快打造</w:t>
      </w:r>
      <w:r>
        <w:rPr>
          <w:rFonts w:hint="eastAsia" w:eastAsia="仿宋_GB2312"/>
          <w:b/>
          <w:kern w:val="0"/>
          <w:sz w:val="32"/>
          <w:szCs w:val="32"/>
        </w:rPr>
        <w:t>全省</w:t>
      </w:r>
      <w:r>
        <w:rPr>
          <w:rFonts w:hint="eastAsia" w:ascii="仿宋_GB2312" w:eastAsia="仿宋_GB2312"/>
          <w:b/>
          <w:kern w:val="0"/>
          <w:sz w:val="32"/>
          <w:szCs w:val="32"/>
        </w:rPr>
        <w:t>充电设施“一张网”，提升群众充电体验。</w:t>
      </w:r>
      <w:r>
        <w:rPr>
          <w:rFonts w:hint="eastAsia" w:ascii="仿宋_GB2312" w:eastAsia="仿宋_GB2312"/>
          <w:kern w:val="0"/>
          <w:sz w:val="32"/>
          <w:szCs w:val="32"/>
        </w:rPr>
        <w:t>目前省级智慧车联网平台静态及动态接入率不高，行业数据统计不全面，制约了行业信息精准分析和相关政策制定，亟待打造全省充电设施“一张网”，突出省级智慧车联网平台作为政府平台的公益属性，提升群众充电体验。省内多个规模较大的充电设施运营商已开展平台之间的对接互联，但需要继续推进互联深度和互联范围，最终形成方便快捷的互联网结算平台。</w:t>
      </w:r>
    </w:p>
    <w:p>
      <w:pPr>
        <w:pStyle w:val="2"/>
        <w:spacing w:line="580" w:lineRule="exact"/>
        <w:ind w:firstLine="643"/>
        <w:rPr>
          <w:rFonts w:ascii="仿宋_GB2312" w:eastAsia="仿宋_GB2312"/>
          <w:kern w:val="0"/>
          <w:sz w:val="32"/>
          <w:szCs w:val="32"/>
        </w:rPr>
      </w:pPr>
      <w:r>
        <w:rPr>
          <w:rFonts w:hint="eastAsia" w:eastAsia="仿宋"/>
          <w:b/>
          <w:sz w:val="32"/>
          <w:szCs w:val="32"/>
        </w:rPr>
        <w:t>4.</w:t>
      </w:r>
      <w:r>
        <w:rPr>
          <w:rFonts w:hint="eastAsia" w:ascii="仿宋_GB2312" w:eastAsia="仿宋_GB2312"/>
          <w:b/>
          <w:kern w:val="0"/>
          <w:sz w:val="32"/>
          <w:szCs w:val="32"/>
        </w:rPr>
        <w:t>充电设施全生命周期安全管理体系需要完善。</w:t>
      </w:r>
      <w:r>
        <w:rPr>
          <w:rFonts w:hint="eastAsia" w:ascii="仿宋_GB2312" w:eastAsia="仿宋_GB2312"/>
          <w:kern w:val="0"/>
          <w:sz w:val="32"/>
          <w:szCs w:val="32"/>
        </w:rPr>
        <w:t>省内尚未建立产品准入、建设验收等方面规范要求，产品及施工质量参差不齐，加之充电运营商对国家及行业在充电系统与设备、充电设施检测、充电接口等方面标准执行力度不一，造成一定安全隐患。规范产业链相关企业在设备制造、建设施工、运行维护等各阶段严格执行现有国家、行业等相关标准，并加强相关地方标准制定。地下车库等特殊环境对充电设施消防要求不明确，需加强研究并完善相关标准。</w:t>
      </w:r>
    </w:p>
    <w:p>
      <w:pPr>
        <w:pStyle w:val="2"/>
        <w:spacing w:line="580" w:lineRule="exact"/>
        <w:ind w:firstLine="643"/>
        <w:rPr>
          <w:rFonts w:ascii="仿宋_GB2312" w:eastAsia="仿宋_GB2312"/>
          <w:kern w:val="0"/>
          <w:sz w:val="32"/>
          <w:szCs w:val="32"/>
        </w:rPr>
      </w:pPr>
      <w:r>
        <w:rPr>
          <w:rFonts w:eastAsia="仿宋"/>
          <w:b/>
          <w:sz w:val="32"/>
          <w:szCs w:val="32"/>
        </w:rPr>
        <w:t>5.</w:t>
      </w:r>
      <w:r>
        <w:rPr>
          <w:rFonts w:hint="eastAsia" w:ascii="仿宋_GB2312" w:eastAsia="仿宋_GB2312"/>
          <w:b/>
          <w:kern w:val="0"/>
          <w:sz w:val="32"/>
          <w:szCs w:val="32"/>
        </w:rPr>
        <w:t>需要加强行业管理。</w:t>
      </w:r>
      <w:r>
        <w:rPr>
          <w:rFonts w:hint="eastAsia" w:ascii="仿宋_GB2312" w:eastAsia="仿宋_GB2312"/>
          <w:kern w:val="0"/>
          <w:sz w:val="32"/>
          <w:szCs w:val="32"/>
        </w:rPr>
        <w:t>充电便捷性不高、充电时间长、油车占位、充电设施破损等问题长期存在，一直是充电设施使用者反映的热点问题。部分运营商为了抢占市场，不计成本和投资回报，造成行业恶性竞争，不利于整体行业健康发展；部分运营商存在重建设轻运营现象，场站建成后运营管理滞后，充电桩可用率、安全性及场站环境没有保障，需要引导充电运营商从扩大市场范围向提高服务能力转变，各级政府相关部门应逐步规范管理。</w:t>
      </w:r>
    </w:p>
    <w:p>
      <w:pPr>
        <w:pStyle w:val="2"/>
        <w:spacing w:line="580" w:lineRule="exact"/>
        <w:ind w:firstLine="643"/>
        <w:rPr>
          <w:rFonts w:ascii="仿宋_GB2312" w:hAnsi="仿宋" w:eastAsia="仿宋_GB2312" w:cs="仿宋"/>
          <w:sz w:val="32"/>
          <w:szCs w:val="40"/>
        </w:rPr>
      </w:pPr>
      <w:r>
        <w:rPr>
          <w:rFonts w:hint="eastAsia" w:eastAsia="仿宋"/>
          <w:b/>
          <w:sz w:val="32"/>
          <w:szCs w:val="32"/>
        </w:rPr>
        <w:t>6.</w:t>
      </w:r>
      <w:r>
        <w:rPr>
          <w:rFonts w:hint="eastAsia" w:ascii="仿宋_GB2312" w:eastAsia="仿宋_GB2312"/>
          <w:b/>
          <w:sz w:val="32"/>
          <w:szCs w:val="32"/>
        </w:rPr>
        <w:t>商业模式仍需丰富。</w:t>
      </w:r>
      <w:r>
        <w:rPr>
          <w:rFonts w:hint="eastAsia" w:ascii="仿宋_GB2312" w:eastAsia="仿宋_GB2312"/>
          <w:sz w:val="32"/>
          <w:szCs w:val="32"/>
        </w:rPr>
        <w:t>目前充电站盈利模式仍较为单一，主要偏重资产布局、收取充电服务费，缺乏针对不同车型、不同群体的多元化服务，没有形成细分市场，电力交易、车网互动等模式不健全，行业盈利能力较弱。要积极推进商业模式探索，以充电桩及充电平台为媒介，连接车辆与电网、引流创收，积极利用电力交易手段，推进车网协同，充分挖掘数据价值，开展金融、售电、电商等多种增值服务，提升充电设施行业总体经济效益。</w:t>
      </w:r>
    </w:p>
    <w:p>
      <w:pPr>
        <w:pStyle w:val="2"/>
        <w:spacing w:line="580" w:lineRule="exact"/>
        <w:ind w:firstLine="643"/>
        <w:rPr>
          <w:rFonts w:ascii="仿宋_GB2312" w:eastAsia="仿宋_GB2312"/>
          <w:sz w:val="32"/>
          <w:szCs w:val="32"/>
        </w:rPr>
      </w:pPr>
      <w:r>
        <w:rPr>
          <w:rFonts w:hint="eastAsia" w:eastAsia="仿宋"/>
          <w:b/>
          <w:sz w:val="32"/>
          <w:szCs w:val="32"/>
        </w:rPr>
        <w:t>7.</w:t>
      </w:r>
      <w:r>
        <w:rPr>
          <w:rFonts w:hint="eastAsia" w:ascii="仿宋_GB2312" w:eastAsia="仿宋_GB2312"/>
          <w:b/>
          <w:sz w:val="32"/>
          <w:szCs w:val="32"/>
        </w:rPr>
        <w:t>配套政策需要加强。</w:t>
      </w:r>
      <w:r>
        <w:rPr>
          <w:rFonts w:hint="eastAsia" w:ascii="仿宋_GB2312" w:eastAsia="仿宋_GB2312"/>
          <w:sz w:val="32"/>
          <w:szCs w:val="32"/>
        </w:rPr>
        <w:t>当前充电设施行业总体尚处于政策推动阶段，与国内先进省份相比，陕西省在电动汽车推广及充电设施建设等方面政策支持力度还需加强，同时省内各地市支持政策力度不一，补贴等主要集中于省会西安，其余地市尚待完善。建成的公共充电站受位置、客源等因素影响，运营情况差异较大，投资回收期长短不一，总体投资回收期为</w:t>
      </w:r>
      <w:r>
        <w:rPr>
          <w:rFonts w:eastAsia="仿宋_GB2312"/>
          <w:sz w:val="32"/>
          <w:szCs w:val="32"/>
        </w:rPr>
        <w:t>4</w:t>
      </w:r>
      <w:r>
        <w:rPr>
          <w:rFonts w:hint="eastAsia" w:eastAsia="仿宋_GB2312"/>
          <w:sz w:val="32"/>
          <w:szCs w:val="32"/>
        </w:rPr>
        <w:t>-</w:t>
      </w:r>
      <w:r>
        <w:rPr>
          <w:rFonts w:eastAsia="仿宋_GB2312"/>
          <w:sz w:val="32"/>
          <w:szCs w:val="32"/>
        </w:rPr>
        <w:t>5年左右</w:t>
      </w:r>
      <w:r>
        <w:rPr>
          <w:rStyle w:val="24"/>
          <w:rFonts w:eastAsia="仿宋_GB2312"/>
          <w:sz w:val="32"/>
          <w:szCs w:val="32"/>
        </w:rPr>
        <w:footnoteReference w:id="4"/>
      </w:r>
      <w:r>
        <w:rPr>
          <w:rFonts w:eastAsia="仿宋_GB2312"/>
          <w:sz w:val="32"/>
          <w:szCs w:val="32"/>
        </w:rPr>
        <w:t>，个别需要6-8年，部</w:t>
      </w:r>
      <w:r>
        <w:rPr>
          <w:rFonts w:hint="eastAsia" w:ascii="仿宋_GB2312" w:eastAsia="仿宋_GB2312"/>
          <w:sz w:val="32"/>
          <w:szCs w:val="32"/>
        </w:rPr>
        <w:t>分运营商处于亏损状态，要建成适度超前的充电设施，仍然需要一定政策支持。</w:t>
      </w:r>
      <w:bookmarkStart w:id="26" w:name="_Toc47622923"/>
    </w:p>
    <w:p>
      <w:pPr>
        <w:pStyle w:val="3"/>
        <w:spacing w:line="580" w:lineRule="exact"/>
        <w:ind w:firstLine="643"/>
      </w:pPr>
      <w:bookmarkStart w:id="27" w:name="_Toc502"/>
      <w:bookmarkStart w:id="28" w:name="_Toc28669"/>
      <w:r>
        <w:rPr>
          <w:rFonts w:hint="eastAsia"/>
        </w:rPr>
        <w:t>三、充电设施发展需求预测</w:t>
      </w:r>
      <w:bookmarkEnd w:id="26"/>
      <w:bookmarkEnd w:id="27"/>
      <w:bookmarkEnd w:id="28"/>
    </w:p>
    <w:p>
      <w:pPr>
        <w:pStyle w:val="4"/>
        <w:spacing w:line="580" w:lineRule="exact"/>
        <w:ind w:firstLine="643"/>
      </w:pPr>
      <w:bookmarkStart w:id="29" w:name="_Toc47622924"/>
      <w:bookmarkStart w:id="30" w:name="_Toc27487"/>
      <w:bookmarkStart w:id="31" w:name="_Toc16828"/>
      <w:bookmarkStart w:id="32" w:name="_Toc447114631"/>
      <w:r>
        <w:t>（一）</w:t>
      </w:r>
      <w:r>
        <w:rPr>
          <w:rFonts w:hint="eastAsia"/>
        </w:rPr>
        <w:t>陕西省电动汽车</w:t>
      </w:r>
      <w:bookmarkEnd w:id="29"/>
      <w:r>
        <w:rPr>
          <w:rFonts w:hint="eastAsia"/>
        </w:rPr>
        <w:t>推广应用预测</w:t>
      </w:r>
      <w:bookmarkEnd w:id="30"/>
      <w:bookmarkEnd w:id="31"/>
    </w:p>
    <w:bookmarkEnd w:id="32"/>
    <w:p>
      <w:pPr>
        <w:pStyle w:val="5"/>
        <w:spacing w:line="580" w:lineRule="exact"/>
        <w:ind w:firstLine="643"/>
      </w:pPr>
      <w:r>
        <w:rPr>
          <w:rFonts w:hint="eastAsia"/>
        </w:rPr>
        <w:t>1.总量预测</w:t>
      </w:r>
    </w:p>
    <w:p>
      <w:pPr>
        <w:adjustRightInd w:val="0"/>
        <w:snapToGrid w:val="0"/>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（1）平均增长率法</w:t>
      </w:r>
    </w:p>
    <w:p>
      <w:pPr>
        <w:adjustRightInd w:val="0"/>
        <w:snapToGrid w:val="0"/>
        <w:spacing w:line="580" w:lineRule="exact"/>
        <w:jc w:val="center"/>
        <w:rPr>
          <w:rFonts w:ascii="Times New Roman" w:hAnsi="Times New Roman" w:eastAsia="仿宋_GB2312"/>
          <w:b/>
          <w:bCs/>
        </w:rPr>
      </w:pPr>
      <w:r>
        <w:rPr>
          <w:rFonts w:hint="eastAsia" w:ascii="仿宋_GB2312" w:hAnsi="Times New Roman" w:eastAsia="仿宋_GB2312"/>
          <w:b/>
          <w:bCs/>
          <w:sz w:val="24"/>
        </w:rPr>
        <w:t>表</w:t>
      </w:r>
      <w:r>
        <w:rPr>
          <w:rFonts w:ascii="Times New Roman" w:hAnsi="Times New Roman" w:eastAsia="仿宋_GB2312" w:cs="Times New Roman"/>
          <w:b/>
          <w:bCs/>
          <w:sz w:val="24"/>
        </w:rPr>
        <w:t xml:space="preserve">2 </w:t>
      </w:r>
      <w:r>
        <w:rPr>
          <w:rFonts w:hint="eastAsia" w:ascii="仿宋_GB2312" w:hAnsi="Times New Roman" w:eastAsia="仿宋_GB2312"/>
          <w:b/>
          <w:bCs/>
          <w:sz w:val="24"/>
        </w:rPr>
        <w:t xml:space="preserve"> 陕西省</w:t>
      </w:r>
      <w:r>
        <w:rPr>
          <w:rFonts w:hint="eastAsia" w:ascii="Times New Roman" w:hAnsi="Times New Roman" w:eastAsia="仿宋_GB2312"/>
          <w:b/>
          <w:bCs/>
          <w:sz w:val="24"/>
        </w:rPr>
        <w:t>2017-2020</w:t>
      </w:r>
      <w:r>
        <w:rPr>
          <w:rFonts w:hint="eastAsia" w:ascii="仿宋_GB2312" w:hAnsi="Times New Roman" w:eastAsia="仿宋_GB2312"/>
          <w:b/>
          <w:bCs/>
          <w:sz w:val="24"/>
        </w:rPr>
        <w:t>年新能源汽车保有情况（单位：辆）</w:t>
      </w:r>
    </w:p>
    <w:tbl>
      <w:tblPr>
        <w:tblStyle w:val="17"/>
        <w:tblW w:w="8333"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934"/>
        <w:gridCol w:w="1934"/>
        <w:gridCol w:w="2232"/>
        <w:gridCol w:w="22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193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eastAsia="宋体"/>
                <w:sz w:val="22"/>
                <w:szCs w:val="22"/>
              </w:rPr>
            </w:pPr>
          </w:p>
        </w:tc>
        <w:tc>
          <w:tcPr>
            <w:tcW w:w="1934"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宋体" w:hAnsi="宋体" w:eastAsia="宋体"/>
                <w:sz w:val="22"/>
                <w:szCs w:val="22"/>
              </w:rPr>
            </w:pPr>
            <w:r>
              <w:rPr>
                <w:rFonts w:hint="eastAsia" w:ascii="宋体" w:hAnsi="宋体"/>
                <w:kern w:val="0"/>
                <w:sz w:val="22"/>
                <w:szCs w:val="22"/>
              </w:rPr>
              <w:t>保有量</w:t>
            </w:r>
          </w:p>
        </w:tc>
        <w:tc>
          <w:tcPr>
            <w:tcW w:w="2232"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宋体" w:hAnsi="宋体" w:eastAsia="宋体"/>
                <w:sz w:val="22"/>
                <w:szCs w:val="22"/>
              </w:rPr>
            </w:pPr>
            <w:r>
              <w:rPr>
                <w:rFonts w:hint="eastAsia" w:ascii="宋体" w:hAnsi="宋体"/>
                <w:kern w:val="0"/>
                <w:sz w:val="22"/>
                <w:szCs w:val="22"/>
              </w:rPr>
              <w:t>增长率</w:t>
            </w:r>
          </w:p>
        </w:tc>
        <w:tc>
          <w:tcPr>
            <w:tcW w:w="2233"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宋体" w:hAnsi="宋体" w:eastAsia="宋体"/>
                <w:sz w:val="22"/>
                <w:szCs w:val="22"/>
              </w:rPr>
            </w:pPr>
            <w:r>
              <w:rPr>
                <w:rFonts w:hint="eastAsia" w:ascii="宋体" w:hAnsi="宋体"/>
                <w:kern w:val="0"/>
                <w:sz w:val="22"/>
                <w:szCs w:val="22"/>
              </w:rPr>
              <w:t>当年新增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193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Times New Roman" w:hAnsi="Times New Roman" w:cs="Times New Roman"/>
                <w:kern w:val="0"/>
                <w:sz w:val="22"/>
                <w:szCs w:val="22"/>
              </w:rPr>
            </w:pPr>
            <w:r>
              <w:rPr>
                <w:rFonts w:ascii="Times New Roman" w:hAnsi="Times New Roman" w:cs="Times New Roman"/>
                <w:kern w:val="0"/>
                <w:sz w:val="22"/>
                <w:szCs w:val="22"/>
              </w:rPr>
              <w:t>2017</w:t>
            </w:r>
            <w:r>
              <w:rPr>
                <w:rFonts w:hint="eastAsia" w:ascii="Times New Roman" w:hAnsi="宋体" w:cs="Times New Roman"/>
                <w:kern w:val="0"/>
                <w:sz w:val="22"/>
                <w:szCs w:val="22"/>
              </w:rPr>
              <w:t>年</w:t>
            </w:r>
          </w:p>
        </w:tc>
        <w:tc>
          <w:tcPr>
            <w:tcW w:w="1934"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Times New Roman" w:hAnsi="Times New Roman" w:cs="Times New Roman"/>
                <w:kern w:val="0"/>
                <w:sz w:val="22"/>
                <w:szCs w:val="22"/>
              </w:rPr>
            </w:pPr>
            <w:r>
              <w:rPr>
                <w:rFonts w:ascii="Times New Roman" w:hAnsi="Times New Roman" w:cs="Times New Roman"/>
                <w:kern w:val="0"/>
                <w:sz w:val="22"/>
                <w:szCs w:val="22"/>
              </w:rPr>
              <w:t>56916</w:t>
            </w:r>
          </w:p>
        </w:tc>
        <w:tc>
          <w:tcPr>
            <w:tcW w:w="2232"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Times New Roman" w:hAnsi="Times New Roman" w:cs="Times New Roman"/>
                <w:kern w:val="0"/>
                <w:sz w:val="22"/>
                <w:szCs w:val="22"/>
              </w:rPr>
            </w:pPr>
            <w:r>
              <w:rPr>
                <w:rFonts w:ascii="Times New Roman" w:hAnsi="Times New Roman" w:cs="Times New Roman"/>
                <w:kern w:val="0"/>
                <w:sz w:val="22"/>
                <w:szCs w:val="22"/>
              </w:rPr>
              <w:t>/</w:t>
            </w:r>
          </w:p>
        </w:tc>
        <w:tc>
          <w:tcPr>
            <w:tcW w:w="2233"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Times New Roman" w:hAnsi="Times New Roman" w:cs="Times New Roman"/>
                <w:kern w:val="0"/>
                <w:sz w:val="22"/>
                <w:szCs w:val="22"/>
              </w:rPr>
            </w:pPr>
            <w:r>
              <w:rPr>
                <w:rFonts w:ascii="Times New Roman" w:hAnsi="Times New Roman" w:cs="Times New Roman"/>
                <w:kern w:val="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193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Times New Roman" w:hAnsi="Times New Roman" w:eastAsia="宋体" w:cs="Times New Roman"/>
                <w:sz w:val="22"/>
                <w:szCs w:val="22"/>
              </w:rPr>
            </w:pPr>
            <w:r>
              <w:rPr>
                <w:rFonts w:ascii="Times New Roman" w:hAnsi="Times New Roman" w:cs="Times New Roman"/>
                <w:kern w:val="0"/>
                <w:sz w:val="22"/>
                <w:szCs w:val="22"/>
              </w:rPr>
              <w:t>2018</w:t>
            </w:r>
            <w:r>
              <w:rPr>
                <w:rFonts w:hint="eastAsia" w:ascii="Times New Roman" w:hAnsi="宋体" w:cs="Times New Roman"/>
                <w:kern w:val="0"/>
                <w:sz w:val="22"/>
                <w:szCs w:val="22"/>
              </w:rPr>
              <w:t>年</w:t>
            </w:r>
          </w:p>
        </w:tc>
        <w:tc>
          <w:tcPr>
            <w:tcW w:w="1934"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Times New Roman" w:hAnsi="Times New Roman" w:eastAsia="宋体" w:cs="Times New Roman"/>
                <w:sz w:val="22"/>
                <w:szCs w:val="22"/>
              </w:rPr>
            </w:pPr>
            <w:r>
              <w:rPr>
                <w:rFonts w:ascii="Times New Roman" w:hAnsi="Times New Roman" w:cs="Times New Roman"/>
                <w:kern w:val="0"/>
                <w:sz w:val="22"/>
                <w:szCs w:val="22"/>
              </w:rPr>
              <w:t>63579</w:t>
            </w:r>
          </w:p>
        </w:tc>
        <w:tc>
          <w:tcPr>
            <w:tcW w:w="2232"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Times New Roman" w:hAnsi="Times New Roman" w:eastAsia="宋体" w:cs="Times New Roman"/>
                <w:sz w:val="22"/>
                <w:szCs w:val="22"/>
              </w:rPr>
            </w:pPr>
            <w:r>
              <w:rPr>
                <w:rFonts w:ascii="Times New Roman" w:hAnsi="Times New Roman" w:cs="Times New Roman"/>
                <w:kern w:val="0"/>
                <w:sz w:val="22"/>
                <w:szCs w:val="22"/>
              </w:rPr>
              <w:t>10.48</w:t>
            </w:r>
          </w:p>
        </w:tc>
        <w:tc>
          <w:tcPr>
            <w:tcW w:w="2233"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Times New Roman" w:hAnsi="Times New Roman" w:eastAsia="宋体" w:cs="Times New Roman"/>
                <w:sz w:val="22"/>
                <w:szCs w:val="22"/>
              </w:rPr>
            </w:pPr>
            <w:r>
              <w:rPr>
                <w:rFonts w:ascii="Times New Roman" w:hAnsi="Times New Roman" w:cs="Times New Roman"/>
                <w:kern w:val="0"/>
                <w:sz w:val="22"/>
                <w:szCs w:val="22"/>
              </w:rPr>
              <w:t>6663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193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Times New Roman" w:hAnsi="Times New Roman" w:eastAsia="宋体" w:cs="Times New Roman"/>
                <w:sz w:val="22"/>
                <w:szCs w:val="22"/>
              </w:rPr>
            </w:pPr>
            <w:r>
              <w:rPr>
                <w:rFonts w:ascii="Times New Roman" w:hAnsi="Times New Roman" w:cs="Times New Roman"/>
                <w:kern w:val="0"/>
                <w:sz w:val="22"/>
                <w:szCs w:val="22"/>
              </w:rPr>
              <w:t>2019</w:t>
            </w:r>
            <w:r>
              <w:rPr>
                <w:rFonts w:hint="eastAsia" w:ascii="Times New Roman" w:hAnsi="宋体" w:cs="Times New Roman"/>
                <w:kern w:val="0"/>
                <w:sz w:val="22"/>
                <w:szCs w:val="22"/>
              </w:rPr>
              <w:t>年</w:t>
            </w:r>
          </w:p>
        </w:tc>
        <w:tc>
          <w:tcPr>
            <w:tcW w:w="1934"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Times New Roman" w:hAnsi="Times New Roman" w:eastAsia="宋体" w:cs="Times New Roman"/>
                <w:sz w:val="22"/>
                <w:szCs w:val="22"/>
              </w:rPr>
            </w:pPr>
            <w:r>
              <w:rPr>
                <w:rFonts w:ascii="Times New Roman" w:hAnsi="Times New Roman" w:cs="Times New Roman"/>
                <w:kern w:val="0"/>
                <w:sz w:val="22"/>
                <w:szCs w:val="22"/>
              </w:rPr>
              <w:t>100722</w:t>
            </w:r>
          </w:p>
        </w:tc>
        <w:tc>
          <w:tcPr>
            <w:tcW w:w="2232"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Times New Roman" w:hAnsi="Times New Roman" w:eastAsia="宋体" w:cs="Times New Roman"/>
                <w:sz w:val="22"/>
                <w:szCs w:val="22"/>
              </w:rPr>
            </w:pPr>
            <w:r>
              <w:rPr>
                <w:rFonts w:ascii="Times New Roman" w:hAnsi="Times New Roman" w:cs="Times New Roman"/>
                <w:kern w:val="0"/>
                <w:sz w:val="22"/>
                <w:szCs w:val="22"/>
              </w:rPr>
              <w:t>58.42</w:t>
            </w:r>
          </w:p>
        </w:tc>
        <w:tc>
          <w:tcPr>
            <w:tcW w:w="2233"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Times New Roman" w:hAnsi="Times New Roman" w:eastAsia="宋体" w:cs="Times New Roman"/>
                <w:sz w:val="22"/>
                <w:szCs w:val="22"/>
              </w:rPr>
            </w:pPr>
            <w:r>
              <w:rPr>
                <w:rFonts w:ascii="Times New Roman" w:hAnsi="Times New Roman" w:cs="Times New Roman"/>
                <w:kern w:val="0"/>
                <w:sz w:val="22"/>
                <w:szCs w:val="22"/>
              </w:rPr>
              <w:t>37143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193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Times New Roman" w:hAnsi="Times New Roman" w:eastAsia="宋体" w:cs="Times New Roman"/>
                <w:sz w:val="22"/>
                <w:szCs w:val="22"/>
              </w:rPr>
            </w:pPr>
            <w:r>
              <w:rPr>
                <w:rFonts w:ascii="Times New Roman" w:hAnsi="Times New Roman" w:cs="Times New Roman"/>
                <w:kern w:val="0"/>
                <w:sz w:val="22"/>
                <w:szCs w:val="22"/>
              </w:rPr>
              <w:t>2020</w:t>
            </w:r>
            <w:r>
              <w:rPr>
                <w:rFonts w:hint="eastAsia" w:ascii="Times New Roman" w:hAnsi="宋体" w:cs="Times New Roman"/>
                <w:kern w:val="0"/>
                <w:sz w:val="22"/>
                <w:szCs w:val="22"/>
              </w:rPr>
              <w:t>年</w:t>
            </w:r>
          </w:p>
        </w:tc>
        <w:tc>
          <w:tcPr>
            <w:tcW w:w="1934"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Times New Roman" w:hAnsi="Times New Roman" w:eastAsia="宋体" w:cs="Times New Roman"/>
                <w:sz w:val="22"/>
                <w:szCs w:val="22"/>
              </w:rPr>
            </w:pPr>
            <w:r>
              <w:rPr>
                <w:rFonts w:ascii="Times New Roman" w:hAnsi="Times New Roman" w:cs="Times New Roman"/>
                <w:kern w:val="0"/>
                <w:sz w:val="22"/>
                <w:szCs w:val="22"/>
              </w:rPr>
              <w:t>123128</w:t>
            </w:r>
          </w:p>
        </w:tc>
        <w:tc>
          <w:tcPr>
            <w:tcW w:w="2232"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Times New Roman" w:hAnsi="Times New Roman" w:eastAsia="宋体" w:cs="Times New Roman"/>
                <w:sz w:val="22"/>
                <w:szCs w:val="22"/>
              </w:rPr>
            </w:pPr>
            <w:r>
              <w:rPr>
                <w:rFonts w:ascii="Times New Roman" w:hAnsi="Times New Roman" w:cs="Times New Roman"/>
                <w:kern w:val="0"/>
                <w:sz w:val="22"/>
                <w:szCs w:val="22"/>
              </w:rPr>
              <w:t>22.25</w:t>
            </w:r>
          </w:p>
        </w:tc>
        <w:tc>
          <w:tcPr>
            <w:tcW w:w="2233"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Times New Roman" w:hAnsi="Times New Roman" w:eastAsia="宋体" w:cs="Times New Roman"/>
                <w:sz w:val="22"/>
                <w:szCs w:val="22"/>
              </w:rPr>
            </w:pPr>
            <w:r>
              <w:rPr>
                <w:rFonts w:ascii="Times New Roman" w:hAnsi="Times New Roman" w:cs="Times New Roman"/>
                <w:kern w:val="0"/>
                <w:sz w:val="22"/>
                <w:szCs w:val="22"/>
              </w:rPr>
              <w:t>22406</w:t>
            </w:r>
          </w:p>
        </w:tc>
      </w:tr>
    </w:tbl>
    <w:p>
      <w:pPr>
        <w:spacing w:beforeLines="25"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2017年末至2020年末的省内电动汽车保有量平均增长率为</w:t>
      </w:r>
      <w:r>
        <w:rPr>
          <w:rFonts w:ascii="Times New Roman" w:hAnsi="Times New Roman" w:eastAsia="仿宋_GB2312" w:cs="Times New Roman"/>
          <w:sz w:val="32"/>
          <w:szCs w:val="32"/>
        </w:rPr>
        <w:t>29.35%</w:t>
      </w:r>
      <w:r>
        <w:rPr>
          <w:rFonts w:hint="eastAsia" w:ascii="Times New Roman" w:hAnsi="Times New Roman" w:eastAsia="仿宋_GB2312" w:cs="Times New Roman"/>
          <w:sz w:val="32"/>
          <w:szCs w:val="32"/>
        </w:rPr>
        <w:t>，2017年末至2020年末的全国电动汽车保有量平均增长率为40</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左右，考虑到国家对电动汽车支持力度持续加强，电动汽车技术成熟度不断提高，“十四五”期间省内电动汽车保有量增速预计将继续提高，取“十四五”期间年平均增长率高、中、低方案分别为</w:t>
      </w:r>
      <w:r>
        <w:rPr>
          <w:rFonts w:ascii="Times New Roman" w:hAnsi="Times New Roman" w:eastAsia="仿宋_GB2312" w:cs="Times New Roman"/>
          <w:sz w:val="32"/>
          <w:szCs w:val="32"/>
        </w:rPr>
        <w:t>50%</w:t>
      </w:r>
      <w:r>
        <w:rPr>
          <w:rFonts w:hint="eastAsia" w:ascii="Times New Roman" w:hAnsi="Times New Roman" w:eastAsia="仿宋_GB2312" w:cs="Times New Roman"/>
          <w:sz w:val="32"/>
          <w:szCs w:val="32"/>
        </w:rPr>
        <w:t>（省内单年电动汽车保有量最高增速）、</w:t>
      </w:r>
      <w:r>
        <w:rPr>
          <w:rFonts w:ascii="Times New Roman" w:hAnsi="Times New Roman" w:eastAsia="仿宋_GB2312" w:cs="Times New Roman"/>
          <w:sz w:val="32"/>
          <w:szCs w:val="32"/>
        </w:rPr>
        <w:t>40%</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2017</w:t>
      </w:r>
      <w:r>
        <w:rPr>
          <w:rFonts w:hint="eastAsia" w:ascii="Times New Roman" w:hAnsi="Times New Roman" w:eastAsia="仿宋_GB2312" w:cs="Times New Roman"/>
          <w:sz w:val="32"/>
          <w:szCs w:val="32"/>
        </w:rPr>
        <w:t>年末至</w:t>
      </w:r>
      <w:r>
        <w:rPr>
          <w:rFonts w:ascii="Times New Roman" w:hAnsi="Times New Roman" w:eastAsia="仿宋_GB2312" w:cs="Times New Roman"/>
          <w:sz w:val="32"/>
          <w:szCs w:val="32"/>
        </w:rPr>
        <w:t>2020</w:t>
      </w:r>
      <w:r>
        <w:rPr>
          <w:rFonts w:hint="eastAsia" w:ascii="Times New Roman" w:hAnsi="Times New Roman" w:eastAsia="仿宋_GB2312" w:cs="Times New Roman"/>
          <w:sz w:val="32"/>
          <w:szCs w:val="32"/>
        </w:rPr>
        <w:t>年末的全国电动汽车保有量平均增速）、</w:t>
      </w:r>
      <w:r>
        <w:rPr>
          <w:rFonts w:ascii="Times New Roman" w:hAnsi="Times New Roman" w:eastAsia="仿宋_GB2312" w:cs="Times New Roman"/>
          <w:sz w:val="32"/>
          <w:szCs w:val="32"/>
        </w:rPr>
        <w:t>30%</w:t>
      </w:r>
      <w:r>
        <w:rPr>
          <w:rFonts w:hint="eastAsia" w:ascii="Times New Roman" w:hAnsi="Times New Roman" w:eastAsia="仿宋_GB2312" w:cs="Times New Roman"/>
          <w:sz w:val="32"/>
          <w:szCs w:val="32"/>
        </w:rPr>
        <w:t>（2017年末至2020年末省内电动汽车保有量平均增速），“十四五”末电动汽车保有量分别达到</w:t>
      </w:r>
      <w:r>
        <w:rPr>
          <w:rFonts w:ascii="Times New Roman" w:hAnsi="Times New Roman" w:eastAsia="仿宋_GB2312" w:cs="Times New Roman"/>
          <w:sz w:val="32"/>
          <w:szCs w:val="32"/>
        </w:rPr>
        <w:t>93.5</w:t>
      </w:r>
      <w:r>
        <w:rPr>
          <w:rFonts w:hint="eastAsia" w:ascii="Times New Roman" w:hAnsi="Times New Roman" w:eastAsia="仿宋_GB2312" w:cs="Times New Roman"/>
          <w:sz w:val="32"/>
          <w:szCs w:val="32"/>
        </w:rPr>
        <w:t>万辆、</w:t>
      </w:r>
      <w:r>
        <w:rPr>
          <w:rFonts w:ascii="Times New Roman" w:hAnsi="Times New Roman" w:eastAsia="仿宋_GB2312" w:cs="Times New Roman"/>
          <w:sz w:val="32"/>
          <w:szCs w:val="32"/>
        </w:rPr>
        <w:t>66.2</w:t>
      </w:r>
      <w:r>
        <w:rPr>
          <w:rFonts w:hint="eastAsia" w:ascii="Times New Roman" w:hAnsi="Times New Roman" w:eastAsia="仿宋_GB2312" w:cs="Times New Roman"/>
          <w:sz w:val="32"/>
          <w:szCs w:val="32"/>
        </w:rPr>
        <w:t>万辆、</w:t>
      </w:r>
      <w:r>
        <w:rPr>
          <w:rFonts w:ascii="Times New Roman" w:hAnsi="Times New Roman" w:eastAsia="仿宋_GB2312" w:cs="Times New Roman"/>
          <w:sz w:val="32"/>
          <w:szCs w:val="32"/>
        </w:rPr>
        <w:t>45.7</w:t>
      </w:r>
      <w:r>
        <w:rPr>
          <w:rFonts w:hint="eastAsia" w:ascii="Times New Roman" w:hAnsi="Times New Roman" w:eastAsia="仿宋_GB2312" w:cs="Times New Roman"/>
          <w:sz w:val="32"/>
          <w:szCs w:val="32"/>
        </w:rPr>
        <w:t>万辆，详细预测结果如下。</w:t>
      </w:r>
    </w:p>
    <w:p>
      <w:pPr>
        <w:pStyle w:val="2"/>
      </w:pPr>
    </w:p>
    <w:p>
      <w:pPr>
        <w:adjustRightInd w:val="0"/>
        <w:snapToGrid w:val="0"/>
        <w:spacing w:beforeLines="50" w:line="580" w:lineRule="exact"/>
        <w:jc w:val="center"/>
        <w:rPr>
          <w:rFonts w:ascii="Times New Roman" w:hAnsi="Times New Roman" w:eastAsia="仿宋_GB2312"/>
          <w:b/>
          <w:bCs/>
        </w:rPr>
      </w:pPr>
      <w:r>
        <w:rPr>
          <w:rFonts w:hint="eastAsia" w:ascii="仿宋_GB2312" w:hAnsi="Times New Roman" w:eastAsia="仿宋_GB2312"/>
          <w:b/>
          <w:bCs/>
          <w:sz w:val="24"/>
        </w:rPr>
        <w:t>表</w:t>
      </w:r>
      <w:r>
        <w:rPr>
          <w:rFonts w:ascii="Times New Roman" w:hAnsi="Times New Roman" w:eastAsia="仿宋_GB2312" w:cs="Times New Roman"/>
          <w:b/>
          <w:bCs/>
          <w:sz w:val="24"/>
        </w:rPr>
        <w:t>3</w:t>
      </w:r>
      <w:r>
        <w:rPr>
          <w:rFonts w:hint="eastAsia" w:ascii="Times New Roman" w:hAnsi="Times New Roman" w:eastAsia="仿宋_GB2312" w:cs="Times New Roman"/>
          <w:b/>
          <w:bCs/>
          <w:sz w:val="24"/>
        </w:rPr>
        <w:t xml:space="preserve"> </w:t>
      </w:r>
      <w:r>
        <w:rPr>
          <w:rFonts w:hint="eastAsia" w:ascii="仿宋_GB2312" w:hAnsi="Times New Roman" w:eastAsia="仿宋_GB2312"/>
          <w:b/>
          <w:bCs/>
          <w:sz w:val="24"/>
        </w:rPr>
        <w:t xml:space="preserve"> 陕西省</w:t>
      </w:r>
      <w:r>
        <w:rPr>
          <w:rFonts w:hint="eastAsia" w:ascii="Times New Roman" w:hAnsi="Times New Roman" w:eastAsia="仿宋_GB2312"/>
          <w:b/>
          <w:bCs/>
          <w:sz w:val="24"/>
        </w:rPr>
        <w:t>“十四五”</w:t>
      </w:r>
      <w:r>
        <w:rPr>
          <w:rFonts w:hint="eastAsia" w:ascii="仿宋_GB2312" w:hAnsi="Times New Roman" w:eastAsia="仿宋_GB2312"/>
          <w:b/>
          <w:bCs/>
          <w:sz w:val="24"/>
        </w:rPr>
        <w:t>电动汽车保有量预测</w:t>
      </w:r>
      <w:r>
        <w:rPr>
          <w:rFonts w:hint="eastAsia" w:ascii="仿宋_GB2312" w:hAnsi="Times New Roman" w:eastAsia="仿宋_GB2312"/>
          <w:b/>
          <w:bCs/>
        </w:rPr>
        <w:t>（</w:t>
      </w:r>
      <w:r>
        <w:rPr>
          <w:rFonts w:hint="eastAsia" w:ascii="仿宋_GB2312" w:hAnsi="Times New Roman" w:eastAsia="仿宋_GB2312"/>
          <w:b/>
          <w:bCs/>
          <w:sz w:val="24"/>
        </w:rPr>
        <w:t>平均增长率法</w:t>
      </w:r>
      <w:r>
        <w:rPr>
          <w:rFonts w:hint="eastAsia" w:ascii="仿宋_GB2312" w:hAnsi="Times New Roman" w:eastAsia="仿宋_GB2312"/>
          <w:b/>
          <w:bCs/>
        </w:rPr>
        <w:t>）</w:t>
      </w:r>
    </w:p>
    <w:tbl>
      <w:tblPr>
        <w:tblStyle w:val="1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88"/>
        <w:gridCol w:w="1292"/>
        <w:gridCol w:w="774"/>
        <w:gridCol w:w="774"/>
        <w:gridCol w:w="774"/>
        <w:gridCol w:w="774"/>
        <w:gridCol w:w="774"/>
        <w:gridCol w:w="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588" w:type="dxa"/>
            <w:vAlign w:val="center"/>
          </w:tcPr>
          <w:p>
            <w:pPr>
              <w:widowControl/>
              <w:jc w:val="center"/>
              <w:rPr>
                <w:rFonts w:ascii="宋体" w:hAnsi="宋体" w:eastAsia="宋体" w:cs="宋体"/>
                <w:kern w:val="0"/>
                <w:sz w:val="22"/>
                <w:szCs w:val="22"/>
              </w:rPr>
            </w:pPr>
          </w:p>
        </w:tc>
        <w:tc>
          <w:tcPr>
            <w:tcW w:w="1292" w:type="dxa"/>
            <w:shd w:val="clear" w:color="auto" w:fill="auto"/>
            <w:vAlign w:val="center"/>
          </w:tcPr>
          <w:p>
            <w:pPr>
              <w:widowControl/>
              <w:jc w:val="center"/>
              <w:rPr>
                <w:rFonts w:ascii="Times New Roman" w:hAnsi="Times New Roman" w:eastAsia="宋体" w:cs="Times New Roman"/>
                <w:kern w:val="0"/>
                <w:sz w:val="22"/>
                <w:szCs w:val="22"/>
              </w:rPr>
            </w:pPr>
            <w:r>
              <w:rPr>
                <w:rFonts w:hint="eastAsia" w:ascii="Times New Roman" w:hAnsi="宋体" w:eastAsia="宋体" w:cs="Times New Roman"/>
                <w:kern w:val="0"/>
                <w:sz w:val="22"/>
                <w:szCs w:val="22"/>
              </w:rPr>
              <w:t>年增长率</w:t>
            </w:r>
          </w:p>
        </w:tc>
        <w:tc>
          <w:tcPr>
            <w:tcW w:w="774" w:type="dxa"/>
            <w:shd w:val="clear" w:color="auto" w:fill="auto"/>
            <w:vAlign w:val="center"/>
          </w:tcPr>
          <w:p>
            <w:pPr>
              <w:widowControl/>
              <w:jc w:val="center"/>
              <w:rPr>
                <w:rFonts w:ascii="Times New Roman" w:hAnsi="Times New Roman" w:eastAsia="宋体" w:cs="Times New Roman"/>
                <w:kern w:val="0"/>
                <w:sz w:val="22"/>
                <w:szCs w:val="22"/>
              </w:rPr>
            </w:pPr>
            <w:r>
              <w:rPr>
                <w:rFonts w:ascii="Times New Roman" w:hAnsi="Times New Roman" w:eastAsia="宋体" w:cs="Times New Roman"/>
                <w:kern w:val="0"/>
                <w:sz w:val="22"/>
                <w:szCs w:val="22"/>
              </w:rPr>
              <w:t>2020</w:t>
            </w:r>
          </w:p>
        </w:tc>
        <w:tc>
          <w:tcPr>
            <w:tcW w:w="774" w:type="dxa"/>
            <w:shd w:val="clear" w:color="auto" w:fill="auto"/>
            <w:vAlign w:val="center"/>
          </w:tcPr>
          <w:p>
            <w:pPr>
              <w:widowControl/>
              <w:jc w:val="center"/>
              <w:rPr>
                <w:rFonts w:ascii="Times New Roman" w:hAnsi="Times New Roman" w:eastAsia="宋体" w:cs="Times New Roman"/>
                <w:kern w:val="0"/>
                <w:sz w:val="22"/>
                <w:szCs w:val="22"/>
              </w:rPr>
            </w:pPr>
            <w:r>
              <w:rPr>
                <w:rFonts w:ascii="Times New Roman" w:hAnsi="Times New Roman" w:eastAsia="宋体" w:cs="Times New Roman"/>
                <w:kern w:val="0"/>
                <w:sz w:val="22"/>
                <w:szCs w:val="22"/>
              </w:rPr>
              <w:t>2021</w:t>
            </w:r>
          </w:p>
        </w:tc>
        <w:tc>
          <w:tcPr>
            <w:tcW w:w="774" w:type="dxa"/>
            <w:shd w:val="clear" w:color="auto" w:fill="auto"/>
            <w:vAlign w:val="center"/>
          </w:tcPr>
          <w:p>
            <w:pPr>
              <w:widowControl/>
              <w:jc w:val="center"/>
              <w:rPr>
                <w:rFonts w:ascii="Times New Roman" w:hAnsi="Times New Roman" w:eastAsia="宋体" w:cs="Times New Roman"/>
                <w:kern w:val="0"/>
                <w:sz w:val="22"/>
                <w:szCs w:val="22"/>
              </w:rPr>
            </w:pPr>
            <w:r>
              <w:rPr>
                <w:rFonts w:ascii="Times New Roman" w:hAnsi="Times New Roman" w:eastAsia="宋体" w:cs="Times New Roman"/>
                <w:kern w:val="0"/>
                <w:sz w:val="22"/>
                <w:szCs w:val="22"/>
              </w:rPr>
              <w:t>2022</w:t>
            </w:r>
          </w:p>
        </w:tc>
        <w:tc>
          <w:tcPr>
            <w:tcW w:w="774" w:type="dxa"/>
            <w:shd w:val="clear" w:color="auto" w:fill="auto"/>
            <w:vAlign w:val="center"/>
          </w:tcPr>
          <w:p>
            <w:pPr>
              <w:widowControl/>
              <w:jc w:val="center"/>
              <w:rPr>
                <w:rFonts w:ascii="Times New Roman" w:hAnsi="Times New Roman" w:eastAsia="宋体" w:cs="Times New Roman"/>
                <w:kern w:val="0"/>
                <w:sz w:val="22"/>
                <w:szCs w:val="22"/>
              </w:rPr>
            </w:pPr>
            <w:r>
              <w:rPr>
                <w:rFonts w:ascii="Times New Roman" w:hAnsi="Times New Roman" w:eastAsia="宋体" w:cs="Times New Roman"/>
                <w:kern w:val="0"/>
                <w:sz w:val="22"/>
                <w:szCs w:val="22"/>
              </w:rPr>
              <w:t>2023</w:t>
            </w:r>
          </w:p>
        </w:tc>
        <w:tc>
          <w:tcPr>
            <w:tcW w:w="774" w:type="dxa"/>
            <w:shd w:val="clear" w:color="auto" w:fill="auto"/>
            <w:vAlign w:val="center"/>
          </w:tcPr>
          <w:p>
            <w:pPr>
              <w:widowControl/>
              <w:jc w:val="center"/>
              <w:rPr>
                <w:rFonts w:ascii="Times New Roman" w:hAnsi="Times New Roman" w:eastAsia="宋体" w:cs="Times New Roman"/>
                <w:kern w:val="0"/>
                <w:sz w:val="22"/>
                <w:szCs w:val="22"/>
              </w:rPr>
            </w:pPr>
            <w:r>
              <w:rPr>
                <w:rFonts w:ascii="Times New Roman" w:hAnsi="Times New Roman" w:eastAsia="宋体" w:cs="Times New Roman"/>
                <w:kern w:val="0"/>
                <w:sz w:val="22"/>
                <w:szCs w:val="22"/>
              </w:rPr>
              <w:t>2024</w:t>
            </w:r>
          </w:p>
        </w:tc>
        <w:tc>
          <w:tcPr>
            <w:tcW w:w="772" w:type="dxa"/>
            <w:shd w:val="clear" w:color="auto" w:fill="auto"/>
            <w:vAlign w:val="center"/>
          </w:tcPr>
          <w:p>
            <w:pPr>
              <w:widowControl/>
              <w:jc w:val="center"/>
              <w:rPr>
                <w:rFonts w:ascii="Times New Roman" w:hAnsi="Times New Roman" w:eastAsia="宋体" w:cs="Times New Roman"/>
                <w:kern w:val="0"/>
                <w:sz w:val="22"/>
                <w:szCs w:val="22"/>
              </w:rPr>
            </w:pPr>
            <w:r>
              <w:rPr>
                <w:rFonts w:ascii="Times New Roman" w:hAnsi="Times New Roman" w:eastAsia="宋体" w:cs="Times New Roman"/>
                <w:kern w:val="0"/>
                <w:sz w:val="22"/>
                <w:szCs w:val="22"/>
              </w:rPr>
              <w:t>2025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588" w:type="dxa"/>
            <w:vMerge w:val="restart"/>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陕西省电动汽车保有量</w:t>
            </w:r>
          </w:p>
          <w:p>
            <w:pPr>
              <w:widowControl/>
              <w:jc w:val="center"/>
            </w:pPr>
            <w:r>
              <w:rPr>
                <w:rFonts w:hint="eastAsia" w:ascii="宋体" w:hAnsi="宋体" w:eastAsia="宋体" w:cs="宋体"/>
                <w:kern w:val="0"/>
                <w:sz w:val="20"/>
                <w:szCs w:val="22"/>
              </w:rPr>
              <w:t>（单位：万辆</w:t>
            </w:r>
            <w:r>
              <w:rPr>
                <w:rFonts w:hint="eastAsia" w:ascii="仿宋_GB2312" w:hAnsi="Times New Roman" w:eastAsia="仿宋_GB2312"/>
                <w:b/>
                <w:bCs/>
                <w:sz w:val="18"/>
              </w:rPr>
              <w:t>）</w:t>
            </w:r>
          </w:p>
        </w:tc>
        <w:tc>
          <w:tcPr>
            <w:tcW w:w="1292" w:type="dxa"/>
            <w:shd w:val="clear" w:color="auto" w:fill="auto"/>
            <w:vAlign w:val="center"/>
          </w:tcPr>
          <w:p>
            <w:pPr>
              <w:widowControl/>
              <w:jc w:val="center"/>
              <w:rPr>
                <w:rFonts w:ascii="Times New Roman" w:hAnsi="Times New Roman" w:eastAsia="宋体" w:cs="Times New Roman"/>
                <w:kern w:val="0"/>
                <w:sz w:val="22"/>
                <w:szCs w:val="22"/>
              </w:rPr>
            </w:pPr>
            <w:r>
              <w:rPr>
                <w:rFonts w:ascii="Times New Roman" w:hAnsi="Times New Roman" w:eastAsia="宋体" w:cs="Times New Roman"/>
                <w:kern w:val="0"/>
                <w:sz w:val="22"/>
                <w:szCs w:val="22"/>
              </w:rPr>
              <w:t>30%</w:t>
            </w:r>
          </w:p>
        </w:tc>
        <w:tc>
          <w:tcPr>
            <w:tcW w:w="774" w:type="dxa"/>
            <w:shd w:val="clear" w:color="auto" w:fill="auto"/>
            <w:vAlign w:val="center"/>
          </w:tcPr>
          <w:p>
            <w:pPr>
              <w:widowControl/>
              <w:jc w:val="center"/>
              <w:rPr>
                <w:rFonts w:ascii="Times New Roman" w:hAnsi="Times New Roman" w:eastAsia="宋体" w:cs="Times New Roman"/>
                <w:kern w:val="0"/>
                <w:sz w:val="22"/>
                <w:szCs w:val="22"/>
              </w:rPr>
            </w:pPr>
            <w:r>
              <w:rPr>
                <w:rFonts w:ascii="Times New Roman" w:hAnsi="Times New Roman" w:eastAsia="宋体" w:cs="Times New Roman"/>
                <w:kern w:val="0"/>
                <w:sz w:val="22"/>
                <w:szCs w:val="22"/>
              </w:rPr>
              <w:t>12.3</w:t>
            </w:r>
          </w:p>
        </w:tc>
        <w:tc>
          <w:tcPr>
            <w:tcW w:w="774" w:type="dxa"/>
            <w:shd w:val="clear" w:color="auto" w:fill="auto"/>
            <w:vAlign w:val="center"/>
          </w:tcPr>
          <w:p>
            <w:pPr>
              <w:widowControl/>
              <w:jc w:val="center"/>
              <w:rPr>
                <w:rFonts w:ascii="Times New Roman" w:hAnsi="Times New Roman" w:eastAsia="宋体" w:cs="Times New Roman"/>
                <w:kern w:val="0"/>
                <w:sz w:val="22"/>
                <w:szCs w:val="22"/>
              </w:rPr>
            </w:pPr>
            <w:r>
              <w:rPr>
                <w:rFonts w:ascii="Times New Roman" w:hAnsi="Times New Roman" w:eastAsia="宋体" w:cs="Times New Roman"/>
                <w:kern w:val="0"/>
                <w:sz w:val="22"/>
                <w:szCs w:val="22"/>
              </w:rPr>
              <w:t>16.0</w:t>
            </w:r>
          </w:p>
        </w:tc>
        <w:tc>
          <w:tcPr>
            <w:tcW w:w="774" w:type="dxa"/>
            <w:shd w:val="clear" w:color="auto" w:fill="auto"/>
            <w:vAlign w:val="center"/>
          </w:tcPr>
          <w:p>
            <w:pPr>
              <w:widowControl/>
              <w:jc w:val="center"/>
              <w:rPr>
                <w:rFonts w:ascii="Times New Roman" w:hAnsi="Times New Roman" w:eastAsia="宋体" w:cs="Times New Roman"/>
                <w:kern w:val="0"/>
                <w:sz w:val="22"/>
                <w:szCs w:val="22"/>
              </w:rPr>
            </w:pPr>
            <w:r>
              <w:rPr>
                <w:rFonts w:ascii="Times New Roman" w:hAnsi="Times New Roman" w:eastAsia="宋体" w:cs="Times New Roman"/>
                <w:kern w:val="0"/>
                <w:sz w:val="22"/>
                <w:szCs w:val="22"/>
              </w:rPr>
              <w:t>20.8</w:t>
            </w:r>
          </w:p>
        </w:tc>
        <w:tc>
          <w:tcPr>
            <w:tcW w:w="774" w:type="dxa"/>
            <w:shd w:val="clear" w:color="auto" w:fill="auto"/>
            <w:vAlign w:val="center"/>
          </w:tcPr>
          <w:p>
            <w:pPr>
              <w:widowControl/>
              <w:jc w:val="center"/>
              <w:rPr>
                <w:rFonts w:ascii="Times New Roman" w:hAnsi="Times New Roman" w:eastAsia="宋体" w:cs="Times New Roman"/>
                <w:kern w:val="0"/>
                <w:sz w:val="22"/>
                <w:szCs w:val="22"/>
              </w:rPr>
            </w:pPr>
            <w:r>
              <w:rPr>
                <w:rFonts w:ascii="Times New Roman" w:hAnsi="Times New Roman" w:eastAsia="宋体" w:cs="Times New Roman"/>
                <w:kern w:val="0"/>
                <w:sz w:val="22"/>
                <w:szCs w:val="22"/>
              </w:rPr>
              <w:t>27.1</w:t>
            </w:r>
          </w:p>
        </w:tc>
        <w:tc>
          <w:tcPr>
            <w:tcW w:w="774" w:type="dxa"/>
            <w:shd w:val="clear" w:color="auto" w:fill="auto"/>
            <w:vAlign w:val="center"/>
          </w:tcPr>
          <w:p>
            <w:pPr>
              <w:widowControl/>
              <w:jc w:val="center"/>
              <w:rPr>
                <w:rFonts w:ascii="Times New Roman" w:hAnsi="Times New Roman" w:eastAsia="宋体" w:cs="Times New Roman"/>
                <w:kern w:val="0"/>
                <w:sz w:val="22"/>
                <w:szCs w:val="22"/>
              </w:rPr>
            </w:pPr>
            <w:r>
              <w:rPr>
                <w:rFonts w:ascii="Times New Roman" w:hAnsi="Times New Roman" w:eastAsia="宋体" w:cs="Times New Roman"/>
                <w:kern w:val="0"/>
                <w:sz w:val="22"/>
                <w:szCs w:val="22"/>
              </w:rPr>
              <w:t>35.2</w:t>
            </w:r>
          </w:p>
        </w:tc>
        <w:tc>
          <w:tcPr>
            <w:tcW w:w="772" w:type="dxa"/>
            <w:shd w:val="clear" w:color="auto" w:fill="auto"/>
            <w:vAlign w:val="center"/>
          </w:tcPr>
          <w:p>
            <w:pPr>
              <w:widowControl/>
              <w:jc w:val="center"/>
              <w:rPr>
                <w:rFonts w:ascii="Times New Roman" w:hAnsi="Times New Roman" w:eastAsia="宋体" w:cs="Times New Roman"/>
                <w:kern w:val="0"/>
                <w:sz w:val="22"/>
                <w:szCs w:val="22"/>
              </w:rPr>
            </w:pPr>
            <w:r>
              <w:rPr>
                <w:rFonts w:ascii="Times New Roman" w:hAnsi="Times New Roman" w:eastAsia="宋体" w:cs="Times New Roman"/>
                <w:kern w:val="0"/>
                <w:sz w:val="22"/>
                <w:szCs w:val="22"/>
              </w:rPr>
              <w:t>45.7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588" w:type="dxa"/>
            <w:vMerge w:val="continue"/>
            <w:vAlign w:val="center"/>
          </w:tcPr>
          <w:p>
            <w:pPr>
              <w:widowControl/>
              <w:jc w:val="center"/>
              <w:rPr>
                <w:rFonts w:ascii="宋体" w:hAnsi="宋体" w:eastAsia="宋体" w:cs="宋体"/>
                <w:kern w:val="0"/>
                <w:sz w:val="22"/>
                <w:szCs w:val="22"/>
              </w:rPr>
            </w:pPr>
          </w:p>
        </w:tc>
        <w:tc>
          <w:tcPr>
            <w:tcW w:w="1292" w:type="dxa"/>
            <w:shd w:val="clear" w:color="auto" w:fill="auto"/>
            <w:vAlign w:val="center"/>
          </w:tcPr>
          <w:p>
            <w:pPr>
              <w:widowControl/>
              <w:jc w:val="center"/>
              <w:rPr>
                <w:rFonts w:ascii="Times New Roman" w:hAnsi="Times New Roman" w:eastAsia="宋体" w:cs="Times New Roman"/>
                <w:kern w:val="0"/>
                <w:sz w:val="22"/>
                <w:szCs w:val="22"/>
              </w:rPr>
            </w:pPr>
            <w:r>
              <w:rPr>
                <w:rFonts w:ascii="Times New Roman" w:hAnsi="Times New Roman" w:eastAsia="宋体" w:cs="Times New Roman"/>
                <w:kern w:val="0"/>
                <w:sz w:val="22"/>
                <w:szCs w:val="22"/>
              </w:rPr>
              <w:t>40%</w:t>
            </w:r>
          </w:p>
        </w:tc>
        <w:tc>
          <w:tcPr>
            <w:tcW w:w="774" w:type="dxa"/>
            <w:shd w:val="clear" w:color="auto" w:fill="auto"/>
            <w:vAlign w:val="center"/>
          </w:tcPr>
          <w:p>
            <w:pPr>
              <w:widowControl/>
              <w:jc w:val="center"/>
              <w:rPr>
                <w:rFonts w:ascii="Times New Roman" w:hAnsi="Times New Roman" w:eastAsia="宋体" w:cs="Times New Roman"/>
                <w:kern w:val="0"/>
                <w:sz w:val="22"/>
                <w:szCs w:val="22"/>
              </w:rPr>
            </w:pPr>
            <w:r>
              <w:rPr>
                <w:rFonts w:ascii="Times New Roman" w:hAnsi="Times New Roman" w:eastAsia="宋体" w:cs="Times New Roman"/>
                <w:kern w:val="0"/>
                <w:sz w:val="22"/>
                <w:szCs w:val="22"/>
              </w:rPr>
              <w:t>12.3</w:t>
            </w:r>
          </w:p>
        </w:tc>
        <w:tc>
          <w:tcPr>
            <w:tcW w:w="774" w:type="dxa"/>
            <w:shd w:val="clear" w:color="auto" w:fill="auto"/>
            <w:vAlign w:val="center"/>
          </w:tcPr>
          <w:p>
            <w:pPr>
              <w:widowControl/>
              <w:jc w:val="center"/>
              <w:rPr>
                <w:rFonts w:ascii="Times New Roman" w:hAnsi="Times New Roman" w:eastAsia="宋体" w:cs="Times New Roman"/>
                <w:kern w:val="0"/>
                <w:sz w:val="22"/>
                <w:szCs w:val="22"/>
              </w:rPr>
            </w:pPr>
            <w:r>
              <w:rPr>
                <w:rFonts w:ascii="Times New Roman" w:hAnsi="Times New Roman" w:eastAsia="宋体" w:cs="Times New Roman"/>
                <w:kern w:val="0"/>
                <w:sz w:val="22"/>
                <w:szCs w:val="22"/>
              </w:rPr>
              <w:t>17.2</w:t>
            </w:r>
          </w:p>
        </w:tc>
        <w:tc>
          <w:tcPr>
            <w:tcW w:w="774" w:type="dxa"/>
            <w:shd w:val="clear" w:color="auto" w:fill="auto"/>
            <w:vAlign w:val="center"/>
          </w:tcPr>
          <w:p>
            <w:pPr>
              <w:widowControl/>
              <w:jc w:val="center"/>
              <w:rPr>
                <w:rFonts w:ascii="Times New Roman" w:hAnsi="Times New Roman" w:eastAsia="宋体" w:cs="Times New Roman"/>
                <w:kern w:val="0"/>
                <w:sz w:val="22"/>
                <w:szCs w:val="22"/>
              </w:rPr>
            </w:pPr>
            <w:r>
              <w:rPr>
                <w:rFonts w:ascii="Times New Roman" w:hAnsi="Times New Roman" w:eastAsia="宋体" w:cs="Times New Roman"/>
                <w:kern w:val="0"/>
                <w:sz w:val="22"/>
                <w:szCs w:val="22"/>
              </w:rPr>
              <w:t>24.1</w:t>
            </w:r>
          </w:p>
        </w:tc>
        <w:tc>
          <w:tcPr>
            <w:tcW w:w="774" w:type="dxa"/>
            <w:shd w:val="clear" w:color="auto" w:fill="auto"/>
            <w:vAlign w:val="center"/>
          </w:tcPr>
          <w:p>
            <w:pPr>
              <w:widowControl/>
              <w:jc w:val="center"/>
              <w:rPr>
                <w:rFonts w:ascii="Times New Roman" w:hAnsi="Times New Roman" w:eastAsia="宋体" w:cs="Times New Roman"/>
                <w:kern w:val="0"/>
                <w:sz w:val="22"/>
                <w:szCs w:val="22"/>
              </w:rPr>
            </w:pPr>
            <w:r>
              <w:rPr>
                <w:rFonts w:ascii="Times New Roman" w:hAnsi="Times New Roman" w:eastAsia="宋体" w:cs="Times New Roman"/>
                <w:kern w:val="0"/>
                <w:sz w:val="22"/>
                <w:szCs w:val="22"/>
              </w:rPr>
              <w:t>33.8</w:t>
            </w:r>
          </w:p>
        </w:tc>
        <w:tc>
          <w:tcPr>
            <w:tcW w:w="774" w:type="dxa"/>
            <w:shd w:val="clear" w:color="auto" w:fill="auto"/>
            <w:vAlign w:val="center"/>
          </w:tcPr>
          <w:p>
            <w:pPr>
              <w:widowControl/>
              <w:jc w:val="center"/>
              <w:rPr>
                <w:rFonts w:ascii="Times New Roman" w:hAnsi="Times New Roman" w:eastAsia="宋体" w:cs="Times New Roman"/>
                <w:kern w:val="0"/>
                <w:sz w:val="22"/>
                <w:szCs w:val="22"/>
              </w:rPr>
            </w:pPr>
            <w:r>
              <w:rPr>
                <w:rFonts w:ascii="Times New Roman" w:hAnsi="Times New Roman" w:eastAsia="宋体" w:cs="Times New Roman"/>
                <w:kern w:val="0"/>
                <w:sz w:val="22"/>
                <w:szCs w:val="22"/>
              </w:rPr>
              <w:t>47.3</w:t>
            </w:r>
          </w:p>
        </w:tc>
        <w:tc>
          <w:tcPr>
            <w:tcW w:w="772" w:type="dxa"/>
            <w:shd w:val="clear" w:color="auto" w:fill="auto"/>
            <w:vAlign w:val="center"/>
          </w:tcPr>
          <w:p>
            <w:pPr>
              <w:widowControl/>
              <w:jc w:val="center"/>
              <w:rPr>
                <w:rFonts w:ascii="Times New Roman" w:hAnsi="Times New Roman" w:eastAsia="宋体" w:cs="Times New Roman"/>
                <w:kern w:val="0"/>
                <w:sz w:val="22"/>
                <w:szCs w:val="22"/>
              </w:rPr>
            </w:pPr>
            <w:r>
              <w:rPr>
                <w:rFonts w:ascii="Times New Roman" w:hAnsi="Times New Roman" w:eastAsia="宋体" w:cs="Times New Roman"/>
                <w:kern w:val="0"/>
                <w:sz w:val="22"/>
                <w:szCs w:val="22"/>
              </w:rPr>
              <w:t>66.2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588" w:type="dxa"/>
            <w:vMerge w:val="continue"/>
            <w:vAlign w:val="center"/>
          </w:tcPr>
          <w:p>
            <w:pPr>
              <w:widowControl/>
              <w:jc w:val="center"/>
              <w:rPr>
                <w:rFonts w:ascii="宋体" w:hAnsi="宋体" w:eastAsia="宋体" w:cs="宋体"/>
                <w:kern w:val="0"/>
                <w:sz w:val="22"/>
                <w:szCs w:val="22"/>
              </w:rPr>
            </w:pPr>
          </w:p>
        </w:tc>
        <w:tc>
          <w:tcPr>
            <w:tcW w:w="1292" w:type="dxa"/>
            <w:shd w:val="clear" w:color="auto" w:fill="auto"/>
            <w:vAlign w:val="center"/>
          </w:tcPr>
          <w:p>
            <w:pPr>
              <w:widowControl/>
              <w:jc w:val="center"/>
              <w:rPr>
                <w:rFonts w:ascii="Times New Roman" w:hAnsi="Times New Roman" w:eastAsia="宋体" w:cs="Times New Roman"/>
                <w:kern w:val="0"/>
                <w:sz w:val="22"/>
                <w:szCs w:val="22"/>
              </w:rPr>
            </w:pPr>
            <w:r>
              <w:rPr>
                <w:rFonts w:ascii="Times New Roman" w:hAnsi="Times New Roman" w:eastAsia="宋体" w:cs="Times New Roman"/>
                <w:kern w:val="0"/>
                <w:sz w:val="22"/>
                <w:szCs w:val="22"/>
              </w:rPr>
              <w:t>50%</w:t>
            </w:r>
          </w:p>
        </w:tc>
        <w:tc>
          <w:tcPr>
            <w:tcW w:w="774" w:type="dxa"/>
            <w:shd w:val="clear" w:color="auto" w:fill="auto"/>
            <w:vAlign w:val="center"/>
          </w:tcPr>
          <w:p>
            <w:pPr>
              <w:widowControl/>
              <w:jc w:val="center"/>
              <w:rPr>
                <w:rFonts w:ascii="Times New Roman" w:hAnsi="Times New Roman" w:eastAsia="宋体" w:cs="Times New Roman"/>
                <w:kern w:val="0"/>
                <w:sz w:val="22"/>
                <w:szCs w:val="22"/>
              </w:rPr>
            </w:pPr>
            <w:r>
              <w:rPr>
                <w:rFonts w:ascii="Times New Roman" w:hAnsi="Times New Roman" w:eastAsia="宋体" w:cs="Times New Roman"/>
                <w:kern w:val="0"/>
                <w:sz w:val="22"/>
                <w:szCs w:val="22"/>
              </w:rPr>
              <w:t>12.3</w:t>
            </w:r>
          </w:p>
        </w:tc>
        <w:tc>
          <w:tcPr>
            <w:tcW w:w="774" w:type="dxa"/>
            <w:shd w:val="clear" w:color="auto" w:fill="auto"/>
            <w:vAlign w:val="center"/>
          </w:tcPr>
          <w:p>
            <w:pPr>
              <w:widowControl/>
              <w:jc w:val="center"/>
              <w:rPr>
                <w:rFonts w:ascii="Times New Roman" w:hAnsi="Times New Roman" w:eastAsia="宋体" w:cs="Times New Roman"/>
                <w:kern w:val="0"/>
                <w:sz w:val="22"/>
                <w:szCs w:val="22"/>
              </w:rPr>
            </w:pPr>
            <w:r>
              <w:rPr>
                <w:rFonts w:ascii="Times New Roman" w:hAnsi="Times New Roman" w:eastAsia="宋体" w:cs="Times New Roman"/>
                <w:kern w:val="0"/>
                <w:sz w:val="22"/>
                <w:szCs w:val="22"/>
              </w:rPr>
              <w:t>18.5</w:t>
            </w:r>
          </w:p>
        </w:tc>
        <w:tc>
          <w:tcPr>
            <w:tcW w:w="774" w:type="dxa"/>
            <w:shd w:val="clear" w:color="auto" w:fill="auto"/>
            <w:vAlign w:val="center"/>
          </w:tcPr>
          <w:p>
            <w:pPr>
              <w:widowControl/>
              <w:jc w:val="center"/>
              <w:rPr>
                <w:rFonts w:ascii="Times New Roman" w:hAnsi="Times New Roman" w:eastAsia="宋体" w:cs="Times New Roman"/>
                <w:kern w:val="0"/>
                <w:sz w:val="22"/>
                <w:szCs w:val="22"/>
              </w:rPr>
            </w:pPr>
            <w:r>
              <w:rPr>
                <w:rFonts w:ascii="Times New Roman" w:hAnsi="Times New Roman" w:eastAsia="宋体" w:cs="Times New Roman"/>
                <w:kern w:val="0"/>
                <w:sz w:val="22"/>
                <w:szCs w:val="22"/>
              </w:rPr>
              <w:t>27.7</w:t>
            </w:r>
          </w:p>
        </w:tc>
        <w:tc>
          <w:tcPr>
            <w:tcW w:w="774" w:type="dxa"/>
            <w:shd w:val="clear" w:color="auto" w:fill="auto"/>
            <w:vAlign w:val="center"/>
          </w:tcPr>
          <w:p>
            <w:pPr>
              <w:widowControl/>
              <w:jc w:val="center"/>
              <w:rPr>
                <w:rFonts w:ascii="Times New Roman" w:hAnsi="Times New Roman" w:eastAsia="宋体" w:cs="Times New Roman"/>
                <w:kern w:val="0"/>
                <w:sz w:val="22"/>
                <w:szCs w:val="22"/>
              </w:rPr>
            </w:pPr>
            <w:r>
              <w:rPr>
                <w:rFonts w:ascii="Times New Roman" w:hAnsi="Times New Roman" w:eastAsia="宋体" w:cs="Times New Roman"/>
                <w:kern w:val="0"/>
                <w:sz w:val="22"/>
                <w:szCs w:val="22"/>
              </w:rPr>
              <w:t>41.5</w:t>
            </w:r>
          </w:p>
        </w:tc>
        <w:tc>
          <w:tcPr>
            <w:tcW w:w="774" w:type="dxa"/>
            <w:shd w:val="clear" w:color="auto" w:fill="auto"/>
            <w:vAlign w:val="center"/>
          </w:tcPr>
          <w:p>
            <w:pPr>
              <w:widowControl/>
              <w:jc w:val="center"/>
              <w:rPr>
                <w:rFonts w:ascii="Times New Roman" w:hAnsi="Times New Roman" w:eastAsia="宋体" w:cs="Times New Roman"/>
                <w:kern w:val="0"/>
                <w:sz w:val="22"/>
                <w:szCs w:val="22"/>
              </w:rPr>
            </w:pPr>
            <w:r>
              <w:rPr>
                <w:rFonts w:ascii="Times New Roman" w:hAnsi="Times New Roman" w:eastAsia="宋体" w:cs="Times New Roman"/>
                <w:kern w:val="0"/>
                <w:sz w:val="22"/>
                <w:szCs w:val="22"/>
              </w:rPr>
              <w:t>62.3</w:t>
            </w:r>
          </w:p>
        </w:tc>
        <w:tc>
          <w:tcPr>
            <w:tcW w:w="772" w:type="dxa"/>
            <w:shd w:val="clear" w:color="auto" w:fill="auto"/>
            <w:vAlign w:val="center"/>
          </w:tcPr>
          <w:p>
            <w:pPr>
              <w:widowControl/>
              <w:jc w:val="center"/>
              <w:rPr>
                <w:rFonts w:ascii="Times New Roman" w:hAnsi="Times New Roman" w:eastAsia="宋体" w:cs="Times New Roman"/>
                <w:kern w:val="0"/>
                <w:sz w:val="22"/>
                <w:szCs w:val="22"/>
              </w:rPr>
            </w:pPr>
            <w:r>
              <w:rPr>
                <w:rFonts w:ascii="Times New Roman" w:hAnsi="Times New Roman" w:eastAsia="宋体" w:cs="Times New Roman"/>
                <w:kern w:val="0"/>
                <w:sz w:val="22"/>
                <w:szCs w:val="22"/>
              </w:rPr>
              <w:t>93.5</w:t>
            </w:r>
          </w:p>
        </w:tc>
      </w:tr>
    </w:tbl>
    <w:p>
      <w:pPr>
        <w:pStyle w:val="2"/>
        <w:spacing w:afterLines="25"/>
      </w:pPr>
    </w:p>
    <w:p>
      <w:pPr>
        <w:pStyle w:val="2"/>
        <w:spacing w:afterLines="50"/>
        <w:ind w:firstLine="0" w:firstLineChars="0"/>
        <w:jc w:val="center"/>
      </w:pPr>
      <w:r>
        <w:drawing>
          <wp:inline distT="0" distB="0" distL="114300" distR="114300">
            <wp:extent cx="5891530" cy="2719070"/>
            <wp:effectExtent l="0" t="0" r="0" b="0"/>
            <wp:docPr id="7"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Pr>
          <w:rFonts w:hint="eastAsia" w:ascii="仿宋_GB2312" w:eastAsia="仿宋_GB2312" w:cstheme="minorBidi"/>
          <w:b/>
          <w:bCs/>
          <w:sz w:val="24"/>
        </w:rPr>
        <w:t>图</w:t>
      </w:r>
      <w:r>
        <w:rPr>
          <w:rFonts w:eastAsia="仿宋_GB2312"/>
          <w:b/>
          <w:bCs/>
          <w:sz w:val="24"/>
        </w:rPr>
        <w:t>1</w:t>
      </w:r>
      <w:r>
        <w:rPr>
          <w:rFonts w:hint="eastAsia" w:ascii="仿宋_GB2312" w:eastAsia="仿宋_GB2312" w:cstheme="minorBidi"/>
          <w:b/>
          <w:bCs/>
          <w:sz w:val="24"/>
        </w:rPr>
        <w:t xml:space="preserve">  陕西省“十四五”电动汽车保有量预测（平均增长率法）（单位：万辆）</w:t>
      </w:r>
    </w:p>
    <w:p>
      <w:pPr>
        <w:adjustRightInd w:val="0"/>
        <w:snapToGrid w:val="0"/>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（2）政策分析法</w:t>
      </w:r>
    </w:p>
    <w:p>
      <w:pPr>
        <w:adjustRightInd w:val="0"/>
        <w:snapToGrid w:val="0"/>
        <w:spacing w:line="580" w:lineRule="exact"/>
        <w:ind w:firstLine="640" w:firstLineChars="200"/>
        <w:rPr>
          <w:rFonts w:ascii="Times New Roman" w:hAnsi="Times New Roman" w:eastAsia="仿宋_GB2312" w:cs="Times New Roman"/>
          <w:b/>
          <w:bCs/>
          <w:sz w:val="32"/>
          <w:szCs w:val="32"/>
        </w:rPr>
      </w:pPr>
      <w:r>
        <w:rPr>
          <w:rFonts w:hint="eastAsia" w:ascii="Times New Roman" w:hAnsi="Times New Roman" w:eastAsia="仿宋_GB2312" w:cs="Times New Roman"/>
          <w:sz w:val="32"/>
          <w:szCs w:val="32"/>
        </w:rPr>
        <w:t>新能源汽车发展水平与经济社会发展程度和汽车应用水平密切相关，陕西省经济社会发展及汽车应用水平略低于全国平均水平，人均汽车拥有量及人均国内生产总值均为全国水平的95%左右，考虑到陕西经济发展增速略快于全国平均水平，同时“十四五”期间新能源汽车购车成本仍将高于传统燃油汽车，新能源汽车还将处于政策推动阶段，省内新能源汽车的发展目标应以国家的发展目标为指引，因此</w:t>
      </w:r>
      <w:r>
        <w:rPr>
          <w:rFonts w:hint="eastAsia" w:ascii="Times New Roman" w:hAnsi="Times New Roman" w:eastAsia="仿宋_GB2312" w:cs="Times New Roman"/>
          <w:b/>
          <w:bCs/>
          <w:sz w:val="32"/>
          <w:szCs w:val="32"/>
        </w:rPr>
        <w:t>将“十四五”期间陕西新能源汽车发展目标与全国平均水平保持一致是较为合理的。</w:t>
      </w:r>
    </w:p>
    <w:p>
      <w:pPr>
        <w:adjustRightInd w:val="0"/>
        <w:snapToGrid w:val="0"/>
        <w:spacing w:beforeLines="50" w:line="580" w:lineRule="exact"/>
        <w:ind w:firstLine="482"/>
        <w:jc w:val="center"/>
        <w:rPr>
          <w:sz w:val="20"/>
        </w:rPr>
      </w:pPr>
      <w:r>
        <w:rPr>
          <w:rFonts w:hint="eastAsia" w:ascii="仿宋_GB2312" w:hAnsi="Times New Roman" w:eastAsia="仿宋_GB2312"/>
          <w:b/>
          <w:bCs/>
          <w:sz w:val="24"/>
        </w:rPr>
        <w:t>表</w:t>
      </w:r>
      <w:r>
        <w:rPr>
          <w:rFonts w:ascii="Times New Roman" w:hAnsi="Times New Roman" w:eastAsia="仿宋_GB2312" w:cs="Times New Roman"/>
          <w:b/>
          <w:bCs/>
          <w:sz w:val="24"/>
        </w:rPr>
        <w:t>4</w:t>
      </w:r>
      <w:r>
        <w:rPr>
          <w:rFonts w:hint="eastAsia" w:ascii="仿宋_GB2312" w:hAnsi="Times New Roman" w:eastAsia="仿宋_GB2312"/>
          <w:b/>
          <w:bCs/>
          <w:sz w:val="24"/>
        </w:rPr>
        <w:t xml:space="preserve"> </w:t>
      </w:r>
      <w:r>
        <w:rPr>
          <w:rFonts w:ascii="仿宋_GB2312" w:hAnsi="Times New Roman" w:eastAsia="仿宋_GB2312"/>
          <w:b/>
          <w:bCs/>
          <w:sz w:val="24"/>
        </w:rPr>
        <w:t>全国国</w:t>
      </w:r>
      <w:r>
        <w:rPr>
          <w:rFonts w:hint="eastAsia" w:ascii="仿宋_GB2312" w:hAnsi="Times New Roman" w:eastAsia="仿宋_GB2312"/>
          <w:b/>
          <w:bCs/>
          <w:sz w:val="24"/>
        </w:rPr>
        <w:t>内生产总值及陕西地区生产总值情况</w:t>
      </w:r>
      <w:r>
        <w:rPr>
          <w:rStyle w:val="24"/>
          <w:rFonts w:ascii="Times New Roman" w:hAnsi="Times New Roman" w:eastAsia="宋体" w:cs="Times New Roman"/>
          <w:b/>
          <w:bCs/>
          <w:sz w:val="24"/>
        </w:rPr>
        <w:footnoteReference w:id="5"/>
      </w:r>
    </w:p>
    <w:tbl>
      <w:tblPr>
        <w:tblStyle w:val="17"/>
        <w:tblW w:w="798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08" w:type="dxa"/>
          <w:bottom w:w="15" w:type="dxa"/>
          <w:right w:w="108" w:type="dxa"/>
        </w:tblCellMar>
      </w:tblPr>
      <w:tblGrid>
        <w:gridCol w:w="1315"/>
        <w:gridCol w:w="606"/>
        <w:gridCol w:w="606"/>
        <w:gridCol w:w="606"/>
        <w:gridCol w:w="606"/>
        <w:gridCol w:w="606"/>
        <w:gridCol w:w="606"/>
        <w:gridCol w:w="606"/>
        <w:gridCol w:w="606"/>
        <w:gridCol w:w="606"/>
        <w:gridCol w:w="606"/>
        <w:gridCol w:w="6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trHeight w:val="113" w:hRule="atLeast"/>
        </w:trPr>
        <w:tc>
          <w:tcPr>
            <w:tcW w:w="1315" w:type="dxa"/>
            <w:vAlign w:val="center"/>
          </w:tcPr>
          <w:p>
            <w:pPr>
              <w:widowControl/>
              <w:spacing w:line="160" w:lineRule="exact"/>
              <w:jc w:val="center"/>
              <w:rPr>
                <w:rFonts w:ascii="Times New Roman" w:hAnsi="Times New Roman" w:eastAsia="宋体" w:cs="Times New Roman"/>
                <w:kern w:val="0"/>
                <w:sz w:val="13"/>
                <w:szCs w:val="15"/>
              </w:rPr>
            </w:pPr>
          </w:p>
        </w:tc>
        <w:tc>
          <w:tcPr>
            <w:tcW w:w="606" w:type="dxa"/>
            <w:vAlign w:val="center"/>
          </w:tcPr>
          <w:p>
            <w:pPr>
              <w:widowControl/>
              <w:spacing w:line="160" w:lineRule="exact"/>
              <w:jc w:val="center"/>
              <w:rPr>
                <w:rFonts w:ascii="Times New Roman" w:hAnsi="Times New Roman" w:eastAsia="宋体" w:cs="Times New Roman"/>
                <w:kern w:val="0"/>
                <w:sz w:val="13"/>
                <w:szCs w:val="15"/>
              </w:rPr>
            </w:pPr>
            <w:r>
              <w:rPr>
                <w:rFonts w:ascii="Times New Roman" w:hAnsi="Times New Roman" w:eastAsia="宋体" w:cs="Times New Roman"/>
                <w:kern w:val="0"/>
                <w:sz w:val="13"/>
                <w:szCs w:val="15"/>
              </w:rPr>
              <w:t>2019</w:t>
            </w:r>
          </w:p>
        </w:tc>
        <w:tc>
          <w:tcPr>
            <w:tcW w:w="606" w:type="dxa"/>
            <w:vAlign w:val="center"/>
          </w:tcPr>
          <w:p>
            <w:pPr>
              <w:widowControl/>
              <w:spacing w:line="160" w:lineRule="exact"/>
              <w:jc w:val="center"/>
              <w:rPr>
                <w:rFonts w:ascii="Times New Roman" w:hAnsi="Times New Roman" w:eastAsia="宋体" w:cs="Times New Roman"/>
                <w:kern w:val="0"/>
                <w:sz w:val="13"/>
                <w:szCs w:val="15"/>
              </w:rPr>
            </w:pPr>
            <w:r>
              <w:rPr>
                <w:rFonts w:ascii="Times New Roman" w:hAnsi="Times New Roman" w:eastAsia="宋体" w:cs="Times New Roman"/>
                <w:kern w:val="0"/>
                <w:sz w:val="13"/>
                <w:szCs w:val="15"/>
              </w:rPr>
              <w:t>2018</w:t>
            </w:r>
          </w:p>
        </w:tc>
        <w:tc>
          <w:tcPr>
            <w:tcW w:w="606" w:type="dxa"/>
            <w:vAlign w:val="center"/>
          </w:tcPr>
          <w:p>
            <w:pPr>
              <w:widowControl/>
              <w:spacing w:line="160" w:lineRule="exact"/>
              <w:jc w:val="center"/>
              <w:rPr>
                <w:rFonts w:ascii="Times New Roman" w:hAnsi="Times New Roman" w:eastAsia="宋体" w:cs="Times New Roman"/>
                <w:kern w:val="0"/>
                <w:sz w:val="13"/>
                <w:szCs w:val="15"/>
              </w:rPr>
            </w:pPr>
            <w:r>
              <w:rPr>
                <w:rFonts w:ascii="Times New Roman" w:hAnsi="Times New Roman" w:eastAsia="宋体" w:cs="Times New Roman"/>
                <w:kern w:val="0"/>
                <w:sz w:val="13"/>
                <w:szCs w:val="15"/>
              </w:rPr>
              <w:t>2017</w:t>
            </w:r>
          </w:p>
        </w:tc>
        <w:tc>
          <w:tcPr>
            <w:tcW w:w="606" w:type="dxa"/>
            <w:vAlign w:val="center"/>
          </w:tcPr>
          <w:p>
            <w:pPr>
              <w:widowControl/>
              <w:spacing w:line="160" w:lineRule="exact"/>
              <w:jc w:val="center"/>
              <w:rPr>
                <w:rFonts w:ascii="Times New Roman" w:hAnsi="Times New Roman" w:eastAsia="宋体" w:cs="Times New Roman"/>
                <w:kern w:val="0"/>
                <w:sz w:val="13"/>
                <w:szCs w:val="15"/>
              </w:rPr>
            </w:pPr>
            <w:r>
              <w:rPr>
                <w:rFonts w:ascii="Times New Roman" w:hAnsi="Times New Roman" w:eastAsia="宋体" w:cs="Times New Roman"/>
                <w:kern w:val="0"/>
                <w:sz w:val="13"/>
                <w:szCs w:val="15"/>
              </w:rPr>
              <w:t>2016</w:t>
            </w:r>
          </w:p>
        </w:tc>
        <w:tc>
          <w:tcPr>
            <w:tcW w:w="606" w:type="dxa"/>
            <w:vAlign w:val="center"/>
          </w:tcPr>
          <w:p>
            <w:pPr>
              <w:widowControl/>
              <w:spacing w:line="160" w:lineRule="exact"/>
              <w:jc w:val="center"/>
              <w:rPr>
                <w:rFonts w:ascii="Times New Roman" w:hAnsi="Times New Roman" w:eastAsia="宋体" w:cs="Times New Roman"/>
                <w:kern w:val="0"/>
                <w:sz w:val="13"/>
                <w:szCs w:val="15"/>
              </w:rPr>
            </w:pPr>
            <w:r>
              <w:rPr>
                <w:rFonts w:ascii="Times New Roman" w:hAnsi="Times New Roman" w:eastAsia="宋体" w:cs="Times New Roman"/>
                <w:kern w:val="0"/>
                <w:sz w:val="13"/>
                <w:szCs w:val="15"/>
              </w:rPr>
              <w:t>2015</w:t>
            </w:r>
          </w:p>
        </w:tc>
        <w:tc>
          <w:tcPr>
            <w:tcW w:w="606" w:type="dxa"/>
            <w:vAlign w:val="center"/>
          </w:tcPr>
          <w:p>
            <w:pPr>
              <w:widowControl/>
              <w:spacing w:line="160" w:lineRule="exact"/>
              <w:jc w:val="center"/>
              <w:rPr>
                <w:rFonts w:ascii="Times New Roman" w:hAnsi="Times New Roman" w:eastAsia="宋体" w:cs="Times New Roman"/>
                <w:kern w:val="0"/>
                <w:sz w:val="13"/>
                <w:szCs w:val="15"/>
              </w:rPr>
            </w:pPr>
            <w:r>
              <w:rPr>
                <w:rFonts w:ascii="Times New Roman" w:hAnsi="Times New Roman" w:eastAsia="宋体" w:cs="Times New Roman"/>
                <w:kern w:val="0"/>
                <w:sz w:val="13"/>
                <w:szCs w:val="15"/>
              </w:rPr>
              <w:t>2014</w:t>
            </w:r>
          </w:p>
        </w:tc>
        <w:tc>
          <w:tcPr>
            <w:tcW w:w="606" w:type="dxa"/>
            <w:vAlign w:val="center"/>
          </w:tcPr>
          <w:p>
            <w:pPr>
              <w:widowControl/>
              <w:spacing w:line="160" w:lineRule="exact"/>
              <w:jc w:val="center"/>
              <w:rPr>
                <w:rFonts w:ascii="Times New Roman" w:hAnsi="Times New Roman" w:eastAsia="宋体" w:cs="Times New Roman"/>
                <w:kern w:val="0"/>
                <w:sz w:val="13"/>
                <w:szCs w:val="15"/>
              </w:rPr>
            </w:pPr>
            <w:r>
              <w:rPr>
                <w:rFonts w:ascii="Times New Roman" w:hAnsi="Times New Roman" w:eastAsia="宋体" w:cs="Times New Roman"/>
                <w:kern w:val="0"/>
                <w:sz w:val="13"/>
                <w:szCs w:val="15"/>
              </w:rPr>
              <w:t>2013</w:t>
            </w:r>
          </w:p>
        </w:tc>
        <w:tc>
          <w:tcPr>
            <w:tcW w:w="606" w:type="dxa"/>
            <w:vAlign w:val="center"/>
          </w:tcPr>
          <w:p>
            <w:pPr>
              <w:widowControl/>
              <w:spacing w:line="160" w:lineRule="exact"/>
              <w:jc w:val="center"/>
              <w:rPr>
                <w:rFonts w:ascii="Times New Roman" w:hAnsi="Times New Roman" w:eastAsia="宋体" w:cs="Times New Roman"/>
                <w:kern w:val="0"/>
                <w:sz w:val="13"/>
                <w:szCs w:val="15"/>
              </w:rPr>
            </w:pPr>
            <w:r>
              <w:rPr>
                <w:rFonts w:ascii="Times New Roman" w:hAnsi="Times New Roman" w:eastAsia="宋体" w:cs="Times New Roman"/>
                <w:kern w:val="0"/>
                <w:sz w:val="13"/>
                <w:szCs w:val="15"/>
              </w:rPr>
              <w:t>2012</w:t>
            </w:r>
          </w:p>
        </w:tc>
        <w:tc>
          <w:tcPr>
            <w:tcW w:w="606" w:type="dxa"/>
            <w:vAlign w:val="center"/>
          </w:tcPr>
          <w:p>
            <w:pPr>
              <w:widowControl/>
              <w:spacing w:line="160" w:lineRule="exact"/>
              <w:jc w:val="center"/>
              <w:rPr>
                <w:rFonts w:ascii="Times New Roman" w:hAnsi="Times New Roman" w:eastAsia="宋体" w:cs="Times New Roman"/>
                <w:kern w:val="0"/>
                <w:sz w:val="13"/>
                <w:szCs w:val="15"/>
              </w:rPr>
            </w:pPr>
            <w:r>
              <w:rPr>
                <w:rFonts w:ascii="Times New Roman" w:hAnsi="Times New Roman" w:eastAsia="宋体" w:cs="Times New Roman"/>
                <w:kern w:val="0"/>
                <w:sz w:val="13"/>
                <w:szCs w:val="15"/>
              </w:rPr>
              <w:t>2011</w:t>
            </w:r>
          </w:p>
        </w:tc>
        <w:tc>
          <w:tcPr>
            <w:tcW w:w="606" w:type="dxa"/>
            <w:vAlign w:val="center"/>
          </w:tcPr>
          <w:p>
            <w:pPr>
              <w:widowControl/>
              <w:spacing w:line="160" w:lineRule="exact"/>
              <w:jc w:val="center"/>
              <w:rPr>
                <w:rFonts w:ascii="Times New Roman" w:hAnsi="Times New Roman" w:eastAsia="宋体" w:cs="Times New Roman"/>
                <w:kern w:val="0"/>
                <w:sz w:val="13"/>
                <w:szCs w:val="15"/>
              </w:rPr>
            </w:pPr>
            <w:r>
              <w:rPr>
                <w:rFonts w:ascii="Times New Roman" w:hAnsi="Times New Roman" w:eastAsia="宋体" w:cs="Times New Roman"/>
                <w:kern w:val="0"/>
                <w:sz w:val="13"/>
                <w:szCs w:val="15"/>
              </w:rPr>
              <w:t>2010</w:t>
            </w:r>
          </w:p>
        </w:tc>
        <w:tc>
          <w:tcPr>
            <w:tcW w:w="606" w:type="dxa"/>
            <w:vAlign w:val="center"/>
          </w:tcPr>
          <w:p>
            <w:pPr>
              <w:widowControl/>
              <w:spacing w:line="160" w:lineRule="exact"/>
              <w:jc w:val="center"/>
              <w:rPr>
                <w:rFonts w:ascii="Times New Roman" w:hAnsi="Times New Roman" w:eastAsia="宋体" w:cs="Times New Roman"/>
                <w:kern w:val="0"/>
                <w:sz w:val="13"/>
                <w:szCs w:val="15"/>
              </w:rPr>
            </w:pPr>
            <w:r>
              <w:rPr>
                <w:rFonts w:ascii="Times New Roman" w:hAnsi="Times New Roman" w:eastAsia="宋体" w:cs="Times New Roman"/>
                <w:kern w:val="0"/>
                <w:sz w:val="13"/>
                <w:szCs w:val="15"/>
              </w:rPr>
              <w:t>2009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trHeight w:val="113" w:hRule="atLeast"/>
        </w:trPr>
        <w:tc>
          <w:tcPr>
            <w:tcW w:w="1315" w:type="dxa"/>
            <w:vAlign w:val="center"/>
          </w:tcPr>
          <w:p>
            <w:pPr>
              <w:widowControl/>
              <w:spacing w:line="160" w:lineRule="exact"/>
              <w:jc w:val="center"/>
              <w:rPr>
                <w:rFonts w:ascii="仿宋" w:hAnsi="仿宋" w:eastAsia="仿宋" w:cs="宋体"/>
                <w:kern w:val="0"/>
                <w:sz w:val="13"/>
                <w:szCs w:val="15"/>
              </w:rPr>
            </w:pPr>
            <w:r>
              <w:rPr>
                <w:rFonts w:hint="eastAsia" w:ascii="仿宋" w:hAnsi="仿宋" w:eastAsia="仿宋" w:cs="宋体"/>
                <w:kern w:val="0"/>
                <w:sz w:val="13"/>
                <w:szCs w:val="15"/>
              </w:rPr>
              <w:t>陕西地区生产总值（亿元）</w:t>
            </w:r>
          </w:p>
        </w:tc>
        <w:tc>
          <w:tcPr>
            <w:tcW w:w="606" w:type="dxa"/>
            <w:vAlign w:val="center"/>
          </w:tcPr>
          <w:p>
            <w:pPr>
              <w:widowControl/>
              <w:spacing w:line="160" w:lineRule="exact"/>
              <w:jc w:val="center"/>
              <w:rPr>
                <w:rFonts w:ascii="Times New Roman" w:hAnsi="Times New Roman" w:eastAsia="宋体" w:cs="Times New Roman"/>
                <w:kern w:val="0"/>
                <w:sz w:val="13"/>
                <w:szCs w:val="15"/>
              </w:rPr>
            </w:pPr>
            <w:r>
              <w:rPr>
                <w:rFonts w:ascii="Times New Roman" w:hAnsi="Times New Roman" w:eastAsia="宋体" w:cs="Times New Roman"/>
                <w:kern w:val="0"/>
                <w:sz w:val="13"/>
                <w:szCs w:val="15"/>
              </w:rPr>
              <w:t>25793</w:t>
            </w:r>
          </w:p>
        </w:tc>
        <w:tc>
          <w:tcPr>
            <w:tcW w:w="606" w:type="dxa"/>
            <w:vAlign w:val="center"/>
          </w:tcPr>
          <w:p>
            <w:pPr>
              <w:widowControl/>
              <w:spacing w:line="160" w:lineRule="exact"/>
              <w:jc w:val="center"/>
              <w:rPr>
                <w:rFonts w:ascii="Times New Roman" w:hAnsi="Times New Roman" w:eastAsia="宋体" w:cs="Times New Roman"/>
                <w:kern w:val="0"/>
                <w:sz w:val="13"/>
                <w:szCs w:val="15"/>
              </w:rPr>
            </w:pPr>
            <w:r>
              <w:rPr>
                <w:rFonts w:ascii="Times New Roman" w:hAnsi="Times New Roman" w:eastAsia="宋体" w:cs="Times New Roman"/>
                <w:kern w:val="0"/>
                <w:sz w:val="13"/>
                <w:szCs w:val="15"/>
              </w:rPr>
              <w:t>23941</w:t>
            </w:r>
          </w:p>
        </w:tc>
        <w:tc>
          <w:tcPr>
            <w:tcW w:w="606" w:type="dxa"/>
            <w:vAlign w:val="center"/>
          </w:tcPr>
          <w:p>
            <w:pPr>
              <w:widowControl/>
              <w:spacing w:line="160" w:lineRule="exact"/>
              <w:jc w:val="center"/>
              <w:rPr>
                <w:rFonts w:ascii="Times New Roman" w:hAnsi="Times New Roman" w:eastAsia="宋体" w:cs="Times New Roman"/>
                <w:kern w:val="0"/>
                <w:sz w:val="13"/>
                <w:szCs w:val="15"/>
              </w:rPr>
            </w:pPr>
            <w:r>
              <w:rPr>
                <w:rFonts w:ascii="Times New Roman" w:hAnsi="Times New Roman" w:eastAsia="宋体" w:cs="Times New Roman"/>
                <w:kern w:val="0"/>
                <w:sz w:val="13"/>
                <w:szCs w:val="15"/>
              </w:rPr>
              <w:t>21898</w:t>
            </w:r>
          </w:p>
        </w:tc>
        <w:tc>
          <w:tcPr>
            <w:tcW w:w="606" w:type="dxa"/>
            <w:vAlign w:val="center"/>
          </w:tcPr>
          <w:p>
            <w:pPr>
              <w:widowControl/>
              <w:spacing w:line="160" w:lineRule="exact"/>
              <w:jc w:val="center"/>
              <w:rPr>
                <w:rFonts w:ascii="Times New Roman" w:hAnsi="Times New Roman" w:eastAsia="宋体" w:cs="Times New Roman"/>
                <w:kern w:val="0"/>
                <w:sz w:val="13"/>
                <w:szCs w:val="15"/>
              </w:rPr>
            </w:pPr>
            <w:r>
              <w:rPr>
                <w:rFonts w:ascii="Times New Roman" w:hAnsi="Times New Roman" w:eastAsia="宋体" w:cs="Times New Roman"/>
                <w:kern w:val="0"/>
                <w:sz w:val="13"/>
                <w:szCs w:val="15"/>
              </w:rPr>
              <w:t>19399</w:t>
            </w:r>
          </w:p>
        </w:tc>
        <w:tc>
          <w:tcPr>
            <w:tcW w:w="606" w:type="dxa"/>
            <w:vAlign w:val="center"/>
          </w:tcPr>
          <w:p>
            <w:pPr>
              <w:widowControl/>
              <w:spacing w:line="160" w:lineRule="exact"/>
              <w:jc w:val="center"/>
              <w:rPr>
                <w:rFonts w:ascii="Times New Roman" w:hAnsi="Times New Roman" w:eastAsia="宋体" w:cs="Times New Roman"/>
                <w:kern w:val="0"/>
                <w:sz w:val="13"/>
                <w:szCs w:val="15"/>
              </w:rPr>
            </w:pPr>
            <w:r>
              <w:rPr>
                <w:rFonts w:ascii="Times New Roman" w:hAnsi="Times New Roman" w:eastAsia="宋体" w:cs="Times New Roman"/>
                <w:kern w:val="0"/>
                <w:sz w:val="13"/>
                <w:szCs w:val="15"/>
              </w:rPr>
              <w:t>18021</w:t>
            </w:r>
          </w:p>
        </w:tc>
        <w:tc>
          <w:tcPr>
            <w:tcW w:w="606" w:type="dxa"/>
            <w:vAlign w:val="center"/>
          </w:tcPr>
          <w:p>
            <w:pPr>
              <w:widowControl/>
              <w:spacing w:line="160" w:lineRule="exact"/>
              <w:jc w:val="center"/>
              <w:rPr>
                <w:rFonts w:ascii="Times New Roman" w:hAnsi="Times New Roman" w:eastAsia="宋体" w:cs="Times New Roman"/>
                <w:kern w:val="0"/>
                <w:sz w:val="13"/>
                <w:szCs w:val="15"/>
              </w:rPr>
            </w:pPr>
            <w:r>
              <w:rPr>
                <w:rFonts w:ascii="Times New Roman" w:hAnsi="Times New Roman" w:eastAsia="宋体" w:cs="Times New Roman"/>
                <w:kern w:val="0"/>
                <w:sz w:val="13"/>
                <w:szCs w:val="15"/>
              </w:rPr>
              <w:t>17689</w:t>
            </w:r>
          </w:p>
        </w:tc>
        <w:tc>
          <w:tcPr>
            <w:tcW w:w="606" w:type="dxa"/>
            <w:vAlign w:val="center"/>
          </w:tcPr>
          <w:p>
            <w:pPr>
              <w:widowControl/>
              <w:spacing w:line="160" w:lineRule="exact"/>
              <w:jc w:val="center"/>
              <w:rPr>
                <w:rFonts w:ascii="Times New Roman" w:hAnsi="Times New Roman" w:eastAsia="宋体" w:cs="Times New Roman"/>
                <w:kern w:val="0"/>
                <w:sz w:val="13"/>
                <w:szCs w:val="15"/>
              </w:rPr>
            </w:pPr>
            <w:r>
              <w:rPr>
                <w:rFonts w:ascii="Times New Roman" w:hAnsi="Times New Roman" w:eastAsia="宋体" w:cs="Times New Roman"/>
                <w:kern w:val="0"/>
                <w:sz w:val="13"/>
                <w:szCs w:val="15"/>
              </w:rPr>
              <w:t>16205</w:t>
            </w:r>
          </w:p>
        </w:tc>
        <w:tc>
          <w:tcPr>
            <w:tcW w:w="606" w:type="dxa"/>
            <w:vAlign w:val="center"/>
          </w:tcPr>
          <w:p>
            <w:pPr>
              <w:widowControl/>
              <w:spacing w:line="160" w:lineRule="exact"/>
              <w:jc w:val="center"/>
              <w:rPr>
                <w:rFonts w:ascii="Times New Roman" w:hAnsi="Times New Roman" w:eastAsia="宋体" w:cs="Times New Roman"/>
                <w:kern w:val="0"/>
                <w:sz w:val="13"/>
                <w:szCs w:val="15"/>
              </w:rPr>
            </w:pPr>
            <w:r>
              <w:rPr>
                <w:rFonts w:ascii="Times New Roman" w:hAnsi="Times New Roman" w:eastAsia="宋体" w:cs="Times New Roman"/>
                <w:kern w:val="0"/>
                <w:sz w:val="13"/>
                <w:szCs w:val="15"/>
              </w:rPr>
              <w:t>14453</w:t>
            </w:r>
          </w:p>
        </w:tc>
        <w:tc>
          <w:tcPr>
            <w:tcW w:w="606" w:type="dxa"/>
            <w:vAlign w:val="center"/>
          </w:tcPr>
          <w:p>
            <w:pPr>
              <w:widowControl/>
              <w:spacing w:line="160" w:lineRule="exact"/>
              <w:jc w:val="center"/>
              <w:rPr>
                <w:rFonts w:ascii="Times New Roman" w:hAnsi="Times New Roman" w:eastAsia="宋体" w:cs="Times New Roman"/>
                <w:kern w:val="0"/>
                <w:sz w:val="13"/>
                <w:szCs w:val="15"/>
              </w:rPr>
            </w:pPr>
            <w:r>
              <w:rPr>
                <w:rFonts w:ascii="Times New Roman" w:hAnsi="Times New Roman" w:eastAsia="宋体" w:cs="Times New Roman"/>
                <w:kern w:val="0"/>
                <w:sz w:val="13"/>
                <w:szCs w:val="15"/>
              </w:rPr>
              <w:t>12512</w:t>
            </w:r>
          </w:p>
        </w:tc>
        <w:tc>
          <w:tcPr>
            <w:tcW w:w="606" w:type="dxa"/>
            <w:vAlign w:val="center"/>
          </w:tcPr>
          <w:p>
            <w:pPr>
              <w:widowControl/>
              <w:spacing w:line="160" w:lineRule="exact"/>
              <w:jc w:val="center"/>
              <w:rPr>
                <w:rFonts w:ascii="Times New Roman" w:hAnsi="Times New Roman" w:eastAsia="宋体" w:cs="Times New Roman"/>
                <w:kern w:val="0"/>
                <w:sz w:val="13"/>
                <w:szCs w:val="15"/>
              </w:rPr>
            </w:pPr>
            <w:r>
              <w:rPr>
                <w:rFonts w:ascii="Times New Roman" w:hAnsi="Times New Roman" w:eastAsia="宋体" w:cs="Times New Roman"/>
                <w:kern w:val="0"/>
                <w:sz w:val="13"/>
                <w:szCs w:val="15"/>
              </w:rPr>
              <w:t>10123</w:t>
            </w:r>
          </w:p>
        </w:tc>
        <w:tc>
          <w:tcPr>
            <w:tcW w:w="606" w:type="dxa"/>
            <w:vAlign w:val="center"/>
          </w:tcPr>
          <w:p>
            <w:pPr>
              <w:widowControl/>
              <w:spacing w:line="160" w:lineRule="exact"/>
              <w:jc w:val="center"/>
              <w:rPr>
                <w:rFonts w:ascii="Times New Roman" w:hAnsi="Times New Roman" w:eastAsia="宋体" w:cs="Times New Roman"/>
                <w:kern w:val="0"/>
                <w:sz w:val="13"/>
                <w:szCs w:val="15"/>
              </w:rPr>
            </w:pPr>
            <w:r>
              <w:rPr>
                <w:rFonts w:ascii="Times New Roman" w:hAnsi="Times New Roman" w:eastAsia="宋体" w:cs="Times New Roman"/>
                <w:kern w:val="0"/>
                <w:sz w:val="13"/>
                <w:szCs w:val="15"/>
              </w:rPr>
              <w:t>8169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trHeight w:val="113" w:hRule="atLeast"/>
        </w:trPr>
        <w:tc>
          <w:tcPr>
            <w:tcW w:w="1315" w:type="dxa"/>
            <w:vAlign w:val="center"/>
          </w:tcPr>
          <w:p>
            <w:pPr>
              <w:widowControl/>
              <w:spacing w:line="160" w:lineRule="exact"/>
              <w:jc w:val="center"/>
              <w:rPr>
                <w:rFonts w:ascii="仿宋" w:hAnsi="仿宋" w:eastAsia="仿宋" w:cs="宋体"/>
                <w:kern w:val="0"/>
                <w:sz w:val="13"/>
                <w:szCs w:val="15"/>
              </w:rPr>
            </w:pPr>
            <w:r>
              <w:rPr>
                <w:rFonts w:hint="eastAsia" w:ascii="仿宋" w:hAnsi="仿宋" w:eastAsia="仿宋" w:cs="宋体"/>
                <w:kern w:val="0"/>
                <w:sz w:val="13"/>
                <w:szCs w:val="15"/>
              </w:rPr>
              <w:t>陕西人均地区生产总值</w:t>
            </w:r>
            <w:r>
              <w:rPr>
                <w:rFonts w:ascii="仿宋" w:hAnsi="仿宋" w:eastAsia="仿宋" w:cs="Times New Roman"/>
                <w:kern w:val="0"/>
                <w:sz w:val="13"/>
              </w:rPr>
              <w:t>(</w:t>
            </w:r>
            <w:r>
              <w:rPr>
                <w:rFonts w:ascii="仿宋" w:hAnsi="仿宋" w:eastAsia="仿宋" w:cs="宋体"/>
                <w:kern w:val="0"/>
                <w:sz w:val="13"/>
              </w:rPr>
              <w:t>元</w:t>
            </w:r>
            <w:r>
              <w:rPr>
                <w:rFonts w:ascii="仿宋" w:hAnsi="仿宋" w:eastAsia="仿宋" w:cs="Times New Roman"/>
                <w:kern w:val="0"/>
                <w:sz w:val="13"/>
              </w:rPr>
              <w:t>/</w:t>
            </w:r>
            <w:r>
              <w:rPr>
                <w:rFonts w:ascii="仿宋" w:hAnsi="仿宋" w:eastAsia="仿宋" w:cs="宋体"/>
                <w:kern w:val="0"/>
                <w:sz w:val="13"/>
              </w:rPr>
              <w:t>人）</w:t>
            </w:r>
          </w:p>
        </w:tc>
        <w:tc>
          <w:tcPr>
            <w:tcW w:w="606" w:type="dxa"/>
            <w:vAlign w:val="center"/>
          </w:tcPr>
          <w:p>
            <w:pPr>
              <w:widowControl/>
              <w:spacing w:line="160" w:lineRule="exact"/>
              <w:jc w:val="center"/>
              <w:rPr>
                <w:rFonts w:ascii="Times New Roman" w:hAnsi="Times New Roman" w:eastAsia="宋体" w:cs="Times New Roman"/>
                <w:kern w:val="0"/>
                <w:sz w:val="13"/>
                <w:szCs w:val="15"/>
              </w:rPr>
            </w:pPr>
            <w:r>
              <w:rPr>
                <w:rFonts w:ascii="Times New Roman" w:hAnsi="Times New Roman" w:eastAsia="宋体" w:cs="Times New Roman"/>
                <w:kern w:val="0"/>
                <w:sz w:val="13"/>
                <w:szCs w:val="15"/>
              </w:rPr>
              <w:t>66649</w:t>
            </w:r>
          </w:p>
        </w:tc>
        <w:tc>
          <w:tcPr>
            <w:tcW w:w="606" w:type="dxa"/>
            <w:vAlign w:val="center"/>
          </w:tcPr>
          <w:p>
            <w:pPr>
              <w:widowControl/>
              <w:spacing w:line="160" w:lineRule="exact"/>
              <w:jc w:val="center"/>
              <w:rPr>
                <w:rFonts w:ascii="Times New Roman" w:hAnsi="Times New Roman" w:eastAsia="宋体" w:cs="Times New Roman"/>
                <w:kern w:val="0"/>
                <w:sz w:val="13"/>
                <w:szCs w:val="15"/>
              </w:rPr>
            </w:pPr>
            <w:r>
              <w:rPr>
                <w:rFonts w:ascii="Times New Roman" w:hAnsi="Times New Roman" w:eastAsia="宋体" w:cs="Times New Roman"/>
                <w:kern w:val="0"/>
                <w:sz w:val="13"/>
                <w:szCs w:val="15"/>
              </w:rPr>
              <w:t>62195</w:t>
            </w:r>
          </w:p>
        </w:tc>
        <w:tc>
          <w:tcPr>
            <w:tcW w:w="606" w:type="dxa"/>
            <w:vAlign w:val="center"/>
          </w:tcPr>
          <w:p>
            <w:pPr>
              <w:widowControl/>
              <w:spacing w:line="160" w:lineRule="exact"/>
              <w:jc w:val="center"/>
              <w:rPr>
                <w:rFonts w:ascii="Times New Roman" w:hAnsi="Times New Roman" w:eastAsia="宋体" w:cs="Times New Roman"/>
                <w:kern w:val="0"/>
                <w:sz w:val="13"/>
                <w:szCs w:val="15"/>
              </w:rPr>
            </w:pPr>
            <w:r>
              <w:rPr>
                <w:rFonts w:ascii="Times New Roman" w:hAnsi="Times New Roman" w:eastAsia="宋体" w:cs="Times New Roman"/>
                <w:kern w:val="0"/>
                <w:sz w:val="13"/>
                <w:szCs w:val="15"/>
              </w:rPr>
              <w:t>57266</w:t>
            </w:r>
          </w:p>
        </w:tc>
        <w:tc>
          <w:tcPr>
            <w:tcW w:w="606" w:type="dxa"/>
            <w:vAlign w:val="center"/>
          </w:tcPr>
          <w:p>
            <w:pPr>
              <w:widowControl/>
              <w:spacing w:line="160" w:lineRule="exact"/>
              <w:jc w:val="center"/>
              <w:rPr>
                <w:rFonts w:ascii="Times New Roman" w:hAnsi="Times New Roman" w:eastAsia="宋体" w:cs="Times New Roman"/>
                <w:kern w:val="0"/>
                <w:sz w:val="13"/>
                <w:szCs w:val="15"/>
              </w:rPr>
            </w:pPr>
            <w:r>
              <w:rPr>
                <w:rFonts w:ascii="Times New Roman" w:hAnsi="Times New Roman" w:eastAsia="宋体" w:cs="Times New Roman"/>
                <w:kern w:val="0"/>
                <w:sz w:val="13"/>
                <w:szCs w:val="15"/>
              </w:rPr>
              <w:t>51015</w:t>
            </w:r>
          </w:p>
        </w:tc>
        <w:tc>
          <w:tcPr>
            <w:tcW w:w="606" w:type="dxa"/>
            <w:vAlign w:val="center"/>
          </w:tcPr>
          <w:p>
            <w:pPr>
              <w:widowControl/>
              <w:spacing w:line="160" w:lineRule="exact"/>
              <w:jc w:val="center"/>
              <w:rPr>
                <w:rFonts w:ascii="Times New Roman" w:hAnsi="Times New Roman" w:eastAsia="宋体" w:cs="Times New Roman"/>
                <w:kern w:val="0"/>
                <w:sz w:val="13"/>
                <w:szCs w:val="15"/>
              </w:rPr>
            </w:pPr>
            <w:r>
              <w:rPr>
                <w:rFonts w:ascii="Times New Roman" w:hAnsi="Times New Roman" w:eastAsia="宋体" w:cs="Times New Roman"/>
                <w:kern w:val="0"/>
                <w:sz w:val="13"/>
                <w:szCs w:val="15"/>
              </w:rPr>
              <w:t>47626</w:t>
            </w:r>
          </w:p>
        </w:tc>
        <w:tc>
          <w:tcPr>
            <w:tcW w:w="606" w:type="dxa"/>
            <w:vAlign w:val="center"/>
          </w:tcPr>
          <w:p>
            <w:pPr>
              <w:widowControl/>
              <w:spacing w:line="160" w:lineRule="exact"/>
              <w:jc w:val="center"/>
              <w:rPr>
                <w:rFonts w:ascii="Times New Roman" w:hAnsi="Times New Roman" w:eastAsia="宋体" w:cs="Times New Roman"/>
                <w:kern w:val="0"/>
                <w:sz w:val="13"/>
                <w:szCs w:val="15"/>
              </w:rPr>
            </w:pPr>
            <w:r>
              <w:rPr>
                <w:rFonts w:ascii="Times New Roman" w:hAnsi="Times New Roman" w:eastAsia="宋体" w:cs="Times New Roman"/>
                <w:kern w:val="0"/>
                <w:sz w:val="13"/>
                <w:szCs w:val="15"/>
              </w:rPr>
              <w:t>46929</w:t>
            </w:r>
          </w:p>
        </w:tc>
        <w:tc>
          <w:tcPr>
            <w:tcW w:w="606" w:type="dxa"/>
            <w:vAlign w:val="center"/>
          </w:tcPr>
          <w:p>
            <w:pPr>
              <w:widowControl/>
              <w:spacing w:line="160" w:lineRule="exact"/>
              <w:jc w:val="center"/>
              <w:rPr>
                <w:rFonts w:ascii="Times New Roman" w:hAnsi="Times New Roman" w:eastAsia="宋体" w:cs="Times New Roman"/>
                <w:kern w:val="0"/>
                <w:sz w:val="13"/>
                <w:szCs w:val="15"/>
              </w:rPr>
            </w:pPr>
            <w:r>
              <w:rPr>
                <w:rFonts w:ascii="Times New Roman" w:hAnsi="Times New Roman" w:eastAsia="宋体" w:cs="Times New Roman"/>
                <w:kern w:val="0"/>
                <w:sz w:val="13"/>
                <w:szCs w:val="15"/>
              </w:rPr>
              <w:t>43117</w:t>
            </w:r>
          </w:p>
        </w:tc>
        <w:tc>
          <w:tcPr>
            <w:tcW w:w="606" w:type="dxa"/>
            <w:vAlign w:val="center"/>
          </w:tcPr>
          <w:p>
            <w:pPr>
              <w:widowControl/>
              <w:spacing w:line="160" w:lineRule="exact"/>
              <w:jc w:val="center"/>
              <w:rPr>
                <w:rFonts w:ascii="Times New Roman" w:hAnsi="Times New Roman" w:eastAsia="宋体" w:cs="Times New Roman"/>
                <w:kern w:val="0"/>
                <w:sz w:val="13"/>
                <w:szCs w:val="15"/>
              </w:rPr>
            </w:pPr>
            <w:r>
              <w:rPr>
                <w:rFonts w:ascii="Times New Roman" w:hAnsi="Times New Roman" w:eastAsia="宋体" w:cs="Times New Roman"/>
                <w:kern w:val="0"/>
                <w:sz w:val="13"/>
                <w:szCs w:val="15"/>
              </w:rPr>
              <w:t>38564</w:t>
            </w:r>
          </w:p>
        </w:tc>
        <w:tc>
          <w:tcPr>
            <w:tcW w:w="606" w:type="dxa"/>
            <w:vAlign w:val="center"/>
          </w:tcPr>
          <w:p>
            <w:pPr>
              <w:widowControl/>
              <w:spacing w:line="160" w:lineRule="exact"/>
              <w:jc w:val="center"/>
              <w:rPr>
                <w:rFonts w:ascii="Times New Roman" w:hAnsi="Times New Roman" w:eastAsia="宋体" w:cs="Times New Roman"/>
                <w:kern w:val="0"/>
                <w:sz w:val="13"/>
                <w:szCs w:val="15"/>
              </w:rPr>
            </w:pPr>
            <w:r>
              <w:rPr>
                <w:rFonts w:ascii="Times New Roman" w:hAnsi="Times New Roman" w:eastAsia="宋体" w:cs="Times New Roman"/>
                <w:kern w:val="0"/>
                <w:sz w:val="13"/>
                <w:szCs w:val="15"/>
              </w:rPr>
              <w:t>33464</w:t>
            </w:r>
          </w:p>
        </w:tc>
        <w:tc>
          <w:tcPr>
            <w:tcW w:w="606" w:type="dxa"/>
            <w:vAlign w:val="center"/>
          </w:tcPr>
          <w:p>
            <w:pPr>
              <w:widowControl/>
              <w:spacing w:line="160" w:lineRule="exact"/>
              <w:jc w:val="center"/>
              <w:rPr>
                <w:rFonts w:ascii="Times New Roman" w:hAnsi="Times New Roman" w:eastAsia="宋体" w:cs="Times New Roman"/>
                <w:kern w:val="0"/>
                <w:sz w:val="13"/>
                <w:szCs w:val="15"/>
              </w:rPr>
            </w:pPr>
            <w:r>
              <w:rPr>
                <w:rFonts w:ascii="Times New Roman" w:hAnsi="Times New Roman" w:eastAsia="宋体" w:cs="Times New Roman"/>
                <w:kern w:val="0"/>
                <w:sz w:val="13"/>
                <w:szCs w:val="15"/>
              </w:rPr>
              <w:t>27133</w:t>
            </w:r>
          </w:p>
        </w:tc>
        <w:tc>
          <w:tcPr>
            <w:tcW w:w="606" w:type="dxa"/>
            <w:vAlign w:val="center"/>
          </w:tcPr>
          <w:p>
            <w:pPr>
              <w:widowControl/>
              <w:spacing w:line="160" w:lineRule="exact"/>
              <w:jc w:val="center"/>
              <w:rPr>
                <w:rFonts w:ascii="Times New Roman" w:hAnsi="Times New Roman" w:eastAsia="宋体" w:cs="Times New Roman"/>
                <w:kern w:val="0"/>
                <w:sz w:val="13"/>
                <w:szCs w:val="15"/>
              </w:rPr>
            </w:pPr>
            <w:r>
              <w:rPr>
                <w:rFonts w:ascii="Times New Roman" w:hAnsi="Times New Roman" w:eastAsia="宋体" w:cs="Times New Roman"/>
                <w:kern w:val="0"/>
                <w:sz w:val="13"/>
                <w:szCs w:val="15"/>
              </w:rPr>
              <w:t>21947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trHeight w:val="113" w:hRule="atLeast"/>
        </w:trPr>
        <w:tc>
          <w:tcPr>
            <w:tcW w:w="1315" w:type="dxa"/>
            <w:vAlign w:val="center"/>
          </w:tcPr>
          <w:p>
            <w:pPr>
              <w:widowControl/>
              <w:spacing w:line="160" w:lineRule="exact"/>
              <w:jc w:val="center"/>
              <w:rPr>
                <w:rFonts w:ascii="仿宋" w:hAnsi="仿宋" w:eastAsia="仿宋" w:cs="宋体"/>
                <w:kern w:val="0"/>
                <w:sz w:val="13"/>
                <w:szCs w:val="15"/>
              </w:rPr>
            </w:pPr>
            <w:r>
              <w:rPr>
                <w:rFonts w:hint="eastAsia" w:ascii="仿宋" w:hAnsi="仿宋" w:eastAsia="仿宋" w:cs="宋体"/>
                <w:kern w:val="0"/>
                <w:sz w:val="13"/>
                <w:szCs w:val="15"/>
              </w:rPr>
              <w:t>全国生产总值（亿元）</w:t>
            </w:r>
          </w:p>
        </w:tc>
        <w:tc>
          <w:tcPr>
            <w:tcW w:w="606" w:type="dxa"/>
            <w:vAlign w:val="center"/>
          </w:tcPr>
          <w:p>
            <w:pPr>
              <w:widowControl/>
              <w:spacing w:line="160" w:lineRule="exact"/>
              <w:jc w:val="center"/>
              <w:rPr>
                <w:rFonts w:ascii="Times New Roman" w:hAnsi="Times New Roman" w:eastAsia="宋体" w:cs="Times New Roman"/>
                <w:kern w:val="0"/>
                <w:sz w:val="13"/>
                <w:szCs w:val="15"/>
              </w:rPr>
            </w:pPr>
            <w:r>
              <w:rPr>
                <w:rFonts w:ascii="Times New Roman" w:hAnsi="Times New Roman" w:eastAsia="宋体" w:cs="Times New Roman"/>
                <w:kern w:val="0"/>
                <w:sz w:val="13"/>
                <w:szCs w:val="15"/>
              </w:rPr>
              <w:t>988528</w:t>
            </w:r>
          </w:p>
        </w:tc>
        <w:tc>
          <w:tcPr>
            <w:tcW w:w="606" w:type="dxa"/>
            <w:vAlign w:val="center"/>
          </w:tcPr>
          <w:p>
            <w:pPr>
              <w:widowControl/>
              <w:spacing w:line="160" w:lineRule="exact"/>
              <w:jc w:val="center"/>
              <w:rPr>
                <w:rFonts w:ascii="Times New Roman" w:hAnsi="Times New Roman" w:eastAsia="宋体" w:cs="Times New Roman"/>
                <w:kern w:val="0"/>
                <w:sz w:val="13"/>
                <w:szCs w:val="15"/>
              </w:rPr>
            </w:pPr>
            <w:r>
              <w:rPr>
                <w:rFonts w:ascii="Times New Roman" w:hAnsi="Times New Roman" w:eastAsia="宋体" w:cs="Times New Roman"/>
                <w:kern w:val="0"/>
                <w:sz w:val="13"/>
                <w:szCs w:val="15"/>
              </w:rPr>
              <w:t>914327</w:t>
            </w:r>
          </w:p>
        </w:tc>
        <w:tc>
          <w:tcPr>
            <w:tcW w:w="606" w:type="dxa"/>
            <w:vAlign w:val="center"/>
          </w:tcPr>
          <w:p>
            <w:pPr>
              <w:widowControl/>
              <w:spacing w:line="160" w:lineRule="exact"/>
              <w:jc w:val="center"/>
              <w:rPr>
                <w:rFonts w:ascii="Times New Roman" w:hAnsi="Times New Roman" w:eastAsia="宋体" w:cs="Times New Roman"/>
                <w:kern w:val="0"/>
                <w:sz w:val="13"/>
                <w:szCs w:val="15"/>
              </w:rPr>
            </w:pPr>
            <w:r>
              <w:rPr>
                <w:rFonts w:ascii="Times New Roman" w:hAnsi="Times New Roman" w:eastAsia="宋体" w:cs="Times New Roman"/>
                <w:kern w:val="0"/>
                <w:sz w:val="13"/>
                <w:szCs w:val="15"/>
              </w:rPr>
              <w:t>831381</w:t>
            </w:r>
          </w:p>
        </w:tc>
        <w:tc>
          <w:tcPr>
            <w:tcW w:w="606" w:type="dxa"/>
            <w:vAlign w:val="center"/>
          </w:tcPr>
          <w:p>
            <w:pPr>
              <w:widowControl/>
              <w:spacing w:line="160" w:lineRule="exact"/>
              <w:jc w:val="center"/>
              <w:rPr>
                <w:rFonts w:ascii="Times New Roman" w:hAnsi="Times New Roman" w:eastAsia="宋体" w:cs="Times New Roman"/>
                <w:kern w:val="0"/>
                <w:sz w:val="13"/>
                <w:szCs w:val="15"/>
              </w:rPr>
            </w:pPr>
            <w:r>
              <w:rPr>
                <w:rFonts w:ascii="Times New Roman" w:hAnsi="Times New Roman" w:eastAsia="宋体" w:cs="Times New Roman"/>
                <w:kern w:val="0"/>
                <w:sz w:val="13"/>
                <w:szCs w:val="15"/>
              </w:rPr>
              <w:t>743408</w:t>
            </w:r>
          </w:p>
        </w:tc>
        <w:tc>
          <w:tcPr>
            <w:tcW w:w="606" w:type="dxa"/>
            <w:vAlign w:val="center"/>
          </w:tcPr>
          <w:p>
            <w:pPr>
              <w:widowControl/>
              <w:spacing w:line="160" w:lineRule="exact"/>
              <w:jc w:val="center"/>
              <w:rPr>
                <w:rFonts w:ascii="Times New Roman" w:hAnsi="Times New Roman" w:eastAsia="宋体" w:cs="Times New Roman"/>
                <w:kern w:val="0"/>
                <w:sz w:val="13"/>
                <w:szCs w:val="15"/>
              </w:rPr>
            </w:pPr>
            <w:r>
              <w:rPr>
                <w:rFonts w:ascii="Times New Roman" w:hAnsi="Times New Roman" w:eastAsia="宋体" w:cs="Times New Roman"/>
                <w:kern w:val="0"/>
                <w:sz w:val="13"/>
                <w:szCs w:val="15"/>
              </w:rPr>
              <w:t>686255</w:t>
            </w:r>
          </w:p>
        </w:tc>
        <w:tc>
          <w:tcPr>
            <w:tcW w:w="606" w:type="dxa"/>
            <w:vAlign w:val="center"/>
          </w:tcPr>
          <w:p>
            <w:pPr>
              <w:widowControl/>
              <w:spacing w:line="160" w:lineRule="exact"/>
              <w:jc w:val="center"/>
              <w:rPr>
                <w:rFonts w:ascii="Times New Roman" w:hAnsi="Times New Roman" w:eastAsia="宋体" w:cs="Times New Roman"/>
                <w:kern w:val="0"/>
                <w:sz w:val="13"/>
                <w:szCs w:val="15"/>
              </w:rPr>
            </w:pPr>
            <w:r>
              <w:rPr>
                <w:rFonts w:ascii="Times New Roman" w:hAnsi="Times New Roman" w:eastAsia="宋体" w:cs="Times New Roman"/>
                <w:kern w:val="0"/>
                <w:sz w:val="13"/>
                <w:szCs w:val="15"/>
              </w:rPr>
              <w:t>644380</w:t>
            </w:r>
          </w:p>
        </w:tc>
        <w:tc>
          <w:tcPr>
            <w:tcW w:w="606" w:type="dxa"/>
            <w:vAlign w:val="center"/>
          </w:tcPr>
          <w:p>
            <w:pPr>
              <w:widowControl/>
              <w:spacing w:line="160" w:lineRule="exact"/>
              <w:jc w:val="center"/>
              <w:rPr>
                <w:rFonts w:ascii="Times New Roman" w:hAnsi="Times New Roman" w:eastAsia="宋体" w:cs="Times New Roman"/>
                <w:kern w:val="0"/>
                <w:sz w:val="13"/>
                <w:szCs w:val="15"/>
              </w:rPr>
            </w:pPr>
            <w:r>
              <w:rPr>
                <w:rFonts w:ascii="Times New Roman" w:hAnsi="Times New Roman" w:eastAsia="宋体" w:cs="Times New Roman"/>
                <w:kern w:val="0"/>
                <w:sz w:val="13"/>
                <w:szCs w:val="15"/>
              </w:rPr>
              <w:t>588141</w:t>
            </w:r>
          </w:p>
        </w:tc>
        <w:tc>
          <w:tcPr>
            <w:tcW w:w="606" w:type="dxa"/>
            <w:vAlign w:val="center"/>
          </w:tcPr>
          <w:p>
            <w:pPr>
              <w:widowControl/>
              <w:spacing w:line="160" w:lineRule="exact"/>
              <w:jc w:val="center"/>
              <w:rPr>
                <w:rFonts w:ascii="Times New Roman" w:hAnsi="Times New Roman" w:eastAsia="宋体" w:cs="Times New Roman"/>
                <w:kern w:val="0"/>
                <w:sz w:val="13"/>
                <w:szCs w:val="15"/>
              </w:rPr>
            </w:pPr>
            <w:r>
              <w:rPr>
                <w:rFonts w:ascii="Times New Roman" w:hAnsi="Times New Roman" w:eastAsia="宋体" w:cs="Times New Roman"/>
                <w:kern w:val="0"/>
                <w:sz w:val="13"/>
                <w:szCs w:val="15"/>
              </w:rPr>
              <w:t>537329</w:t>
            </w:r>
          </w:p>
        </w:tc>
        <w:tc>
          <w:tcPr>
            <w:tcW w:w="606" w:type="dxa"/>
            <w:vAlign w:val="center"/>
          </w:tcPr>
          <w:p>
            <w:pPr>
              <w:widowControl/>
              <w:spacing w:line="160" w:lineRule="exact"/>
              <w:jc w:val="center"/>
              <w:rPr>
                <w:rFonts w:ascii="Times New Roman" w:hAnsi="Times New Roman" w:eastAsia="宋体" w:cs="Times New Roman"/>
                <w:kern w:val="0"/>
                <w:sz w:val="13"/>
                <w:szCs w:val="15"/>
              </w:rPr>
            </w:pPr>
            <w:r>
              <w:rPr>
                <w:rFonts w:ascii="Times New Roman" w:hAnsi="Times New Roman" w:eastAsia="宋体" w:cs="Times New Roman"/>
                <w:kern w:val="0"/>
                <w:sz w:val="13"/>
                <w:szCs w:val="15"/>
              </w:rPr>
              <w:t>483392</w:t>
            </w:r>
          </w:p>
        </w:tc>
        <w:tc>
          <w:tcPr>
            <w:tcW w:w="606" w:type="dxa"/>
            <w:vAlign w:val="center"/>
          </w:tcPr>
          <w:p>
            <w:pPr>
              <w:widowControl/>
              <w:spacing w:line="160" w:lineRule="exact"/>
              <w:jc w:val="center"/>
              <w:rPr>
                <w:rFonts w:ascii="Times New Roman" w:hAnsi="Times New Roman" w:eastAsia="宋体" w:cs="Times New Roman"/>
                <w:kern w:val="0"/>
                <w:sz w:val="13"/>
                <w:szCs w:val="15"/>
              </w:rPr>
            </w:pPr>
            <w:r>
              <w:rPr>
                <w:rFonts w:ascii="Times New Roman" w:hAnsi="Times New Roman" w:eastAsia="宋体" w:cs="Times New Roman"/>
                <w:kern w:val="0"/>
                <w:sz w:val="13"/>
                <w:szCs w:val="15"/>
              </w:rPr>
              <w:t>410354</w:t>
            </w:r>
          </w:p>
        </w:tc>
        <w:tc>
          <w:tcPr>
            <w:tcW w:w="606" w:type="dxa"/>
            <w:vAlign w:val="center"/>
          </w:tcPr>
          <w:p>
            <w:pPr>
              <w:widowControl/>
              <w:spacing w:line="160" w:lineRule="exact"/>
              <w:jc w:val="center"/>
              <w:rPr>
                <w:rFonts w:ascii="Times New Roman" w:hAnsi="Times New Roman" w:eastAsia="宋体" w:cs="Times New Roman"/>
                <w:kern w:val="0"/>
                <w:sz w:val="13"/>
                <w:szCs w:val="15"/>
              </w:rPr>
            </w:pPr>
            <w:r>
              <w:rPr>
                <w:rFonts w:ascii="Times New Roman" w:hAnsi="Times New Roman" w:eastAsia="宋体" w:cs="Times New Roman"/>
                <w:kern w:val="0"/>
                <w:sz w:val="13"/>
                <w:szCs w:val="15"/>
              </w:rPr>
              <w:t>347934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trHeight w:val="113" w:hRule="atLeast"/>
        </w:trPr>
        <w:tc>
          <w:tcPr>
            <w:tcW w:w="1315" w:type="dxa"/>
            <w:vAlign w:val="center"/>
          </w:tcPr>
          <w:p>
            <w:pPr>
              <w:widowControl/>
              <w:spacing w:line="160" w:lineRule="exact"/>
              <w:jc w:val="center"/>
              <w:rPr>
                <w:rFonts w:ascii="仿宋" w:hAnsi="仿宋" w:eastAsia="仿宋" w:cs="宋体"/>
                <w:kern w:val="0"/>
                <w:sz w:val="13"/>
                <w:szCs w:val="15"/>
              </w:rPr>
            </w:pPr>
            <w:r>
              <w:rPr>
                <w:rFonts w:hint="eastAsia" w:ascii="仿宋" w:hAnsi="仿宋" w:eastAsia="仿宋" w:cs="宋体"/>
                <w:kern w:val="0"/>
                <w:sz w:val="13"/>
                <w:szCs w:val="15"/>
              </w:rPr>
              <w:t>全国人均国内生产总值（元）</w:t>
            </w:r>
          </w:p>
        </w:tc>
        <w:tc>
          <w:tcPr>
            <w:tcW w:w="606" w:type="dxa"/>
            <w:vAlign w:val="center"/>
          </w:tcPr>
          <w:p>
            <w:pPr>
              <w:widowControl/>
              <w:spacing w:line="160" w:lineRule="exact"/>
              <w:jc w:val="center"/>
              <w:rPr>
                <w:rFonts w:ascii="Times New Roman" w:hAnsi="Times New Roman" w:eastAsia="宋体" w:cs="Times New Roman"/>
                <w:kern w:val="0"/>
                <w:sz w:val="13"/>
                <w:szCs w:val="15"/>
              </w:rPr>
            </w:pPr>
            <w:r>
              <w:rPr>
                <w:rFonts w:ascii="Times New Roman" w:hAnsi="Times New Roman" w:eastAsia="宋体" w:cs="Times New Roman"/>
                <w:kern w:val="0"/>
                <w:sz w:val="13"/>
                <w:szCs w:val="15"/>
              </w:rPr>
              <w:t>70892</w:t>
            </w:r>
          </w:p>
        </w:tc>
        <w:tc>
          <w:tcPr>
            <w:tcW w:w="606" w:type="dxa"/>
            <w:vAlign w:val="center"/>
          </w:tcPr>
          <w:p>
            <w:pPr>
              <w:widowControl/>
              <w:spacing w:line="160" w:lineRule="exact"/>
              <w:jc w:val="center"/>
              <w:rPr>
                <w:rFonts w:ascii="Times New Roman" w:hAnsi="Times New Roman" w:eastAsia="宋体" w:cs="Times New Roman"/>
                <w:kern w:val="0"/>
                <w:sz w:val="13"/>
                <w:szCs w:val="15"/>
              </w:rPr>
            </w:pPr>
            <w:r>
              <w:rPr>
                <w:rFonts w:ascii="Times New Roman" w:hAnsi="Times New Roman" w:eastAsia="宋体" w:cs="Times New Roman"/>
                <w:kern w:val="0"/>
                <w:sz w:val="13"/>
                <w:szCs w:val="15"/>
              </w:rPr>
              <w:t>66006</w:t>
            </w:r>
          </w:p>
        </w:tc>
        <w:tc>
          <w:tcPr>
            <w:tcW w:w="606" w:type="dxa"/>
            <w:vAlign w:val="center"/>
          </w:tcPr>
          <w:p>
            <w:pPr>
              <w:widowControl/>
              <w:spacing w:line="160" w:lineRule="exact"/>
              <w:jc w:val="center"/>
              <w:rPr>
                <w:rFonts w:ascii="Times New Roman" w:hAnsi="Times New Roman" w:eastAsia="宋体" w:cs="Times New Roman"/>
                <w:kern w:val="0"/>
                <w:sz w:val="13"/>
                <w:szCs w:val="15"/>
              </w:rPr>
            </w:pPr>
            <w:r>
              <w:rPr>
                <w:rFonts w:ascii="Times New Roman" w:hAnsi="Times New Roman" w:eastAsia="宋体" w:cs="Times New Roman"/>
                <w:kern w:val="0"/>
                <w:sz w:val="13"/>
                <w:szCs w:val="15"/>
              </w:rPr>
              <w:t>60014</w:t>
            </w:r>
          </w:p>
        </w:tc>
        <w:tc>
          <w:tcPr>
            <w:tcW w:w="606" w:type="dxa"/>
            <w:vAlign w:val="center"/>
          </w:tcPr>
          <w:p>
            <w:pPr>
              <w:widowControl/>
              <w:spacing w:line="160" w:lineRule="exact"/>
              <w:jc w:val="center"/>
              <w:rPr>
                <w:rFonts w:ascii="Times New Roman" w:hAnsi="Times New Roman" w:eastAsia="宋体" w:cs="Times New Roman"/>
                <w:kern w:val="0"/>
                <w:sz w:val="13"/>
                <w:szCs w:val="15"/>
              </w:rPr>
            </w:pPr>
            <w:r>
              <w:rPr>
                <w:rFonts w:ascii="Times New Roman" w:hAnsi="Times New Roman" w:eastAsia="宋体" w:cs="Times New Roman"/>
                <w:kern w:val="0"/>
                <w:sz w:val="13"/>
                <w:szCs w:val="15"/>
              </w:rPr>
              <w:t>54139</w:t>
            </w:r>
          </w:p>
        </w:tc>
        <w:tc>
          <w:tcPr>
            <w:tcW w:w="606" w:type="dxa"/>
            <w:vAlign w:val="center"/>
          </w:tcPr>
          <w:p>
            <w:pPr>
              <w:widowControl/>
              <w:spacing w:line="160" w:lineRule="exact"/>
              <w:jc w:val="center"/>
              <w:rPr>
                <w:rFonts w:ascii="Times New Roman" w:hAnsi="Times New Roman" w:eastAsia="宋体" w:cs="Times New Roman"/>
                <w:kern w:val="0"/>
                <w:sz w:val="13"/>
                <w:szCs w:val="15"/>
              </w:rPr>
            </w:pPr>
            <w:r>
              <w:rPr>
                <w:rFonts w:ascii="Times New Roman" w:hAnsi="Times New Roman" w:eastAsia="宋体" w:cs="Times New Roman"/>
                <w:kern w:val="0"/>
                <w:sz w:val="13"/>
                <w:szCs w:val="15"/>
              </w:rPr>
              <w:t>50237</w:t>
            </w:r>
          </w:p>
        </w:tc>
        <w:tc>
          <w:tcPr>
            <w:tcW w:w="606" w:type="dxa"/>
            <w:vAlign w:val="center"/>
          </w:tcPr>
          <w:p>
            <w:pPr>
              <w:widowControl/>
              <w:spacing w:line="160" w:lineRule="exact"/>
              <w:jc w:val="center"/>
              <w:rPr>
                <w:rFonts w:ascii="Times New Roman" w:hAnsi="Times New Roman" w:eastAsia="宋体" w:cs="Times New Roman"/>
                <w:kern w:val="0"/>
                <w:sz w:val="13"/>
                <w:szCs w:val="15"/>
              </w:rPr>
            </w:pPr>
            <w:r>
              <w:rPr>
                <w:rFonts w:ascii="Times New Roman" w:hAnsi="Times New Roman" w:eastAsia="宋体" w:cs="Times New Roman"/>
                <w:kern w:val="0"/>
                <w:sz w:val="13"/>
                <w:szCs w:val="15"/>
              </w:rPr>
              <w:t>47173</w:t>
            </w:r>
          </w:p>
        </w:tc>
        <w:tc>
          <w:tcPr>
            <w:tcW w:w="606" w:type="dxa"/>
            <w:vAlign w:val="center"/>
          </w:tcPr>
          <w:p>
            <w:pPr>
              <w:widowControl/>
              <w:spacing w:line="160" w:lineRule="exact"/>
              <w:jc w:val="center"/>
              <w:rPr>
                <w:rFonts w:ascii="Times New Roman" w:hAnsi="Times New Roman" w:eastAsia="宋体" w:cs="Times New Roman"/>
                <w:kern w:val="0"/>
                <w:sz w:val="13"/>
                <w:szCs w:val="15"/>
              </w:rPr>
            </w:pPr>
            <w:r>
              <w:rPr>
                <w:rFonts w:ascii="Times New Roman" w:hAnsi="Times New Roman" w:eastAsia="宋体" w:cs="Times New Roman"/>
                <w:kern w:val="0"/>
                <w:sz w:val="13"/>
                <w:szCs w:val="15"/>
              </w:rPr>
              <w:t>43684</w:t>
            </w:r>
          </w:p>
        </w:tc>
        <w:tc>
          <w:tcPr>
            <w:tcW w:w="606" w:type="dxa"/>
            <w:vAlign w:val="center"/>
          </w:tcPr>
          <w:p>
            <w:pPr>
              <w:widowControl/>
              <w:spacing w:line="160" w:lineRule="exact"/>
              <w:jc w:val="center"/>
              <w:rPr>
                <w:rFonts w:ascii="Times New Roman" w:hAnsi="Times New Roman" w:eastAsia="宋体" w:cs="Times New Roman"/>
                <w:kern w:val="0"/>
                <w:sz w:val="13"/>
                <w:szCs w:val="15"/>
              </w:rPr>
            </w:pPr>
            <w:r>
              <w:rPr>
                <w:rFonts w:ascii="Times New Roman" w:hAnsi="Times New Roman" w:eastAsia="宋体" w:cs="Times New Roman"/>
                <w:kern w:val="0"/>
                <w:sz w:val="13"/>
                <w:szCs w:val="15"/>
              </w:rPr>
              <w:t>39874</w:t>
            </w:r>
          </w:p>
        </w:tc>
        <w:tc>
          <w:tcPr>
            <w:tcW w:w="606" w:type="dxa"/>
            <w:vAlign w:val="center"/>
          </w:tcPr>
          <w:p>
            <w:pPr>
              <w:widowControl/>
              <w:spacing w:line="160" w:lineRule="exact"/>
              <w:jc w:val="center"/>
              <w:rPr>
                <w:rFonts w:ascii="Times New Roman" w:hAnsi="Times New Roman" w:eastAsia="宋体" w:cs="Times New Roman"/>
                <w:kern w:val="0"/>
                <w:sz w:val="13"/>
                <w:szCs w:val="15"/>
              </w:rPr>
            </w:pPr>
            <w:r>
              <w:rPr>
                <w:rFonts w:ascii="Times New Roman" w:hAnsi="Times New Roman" w:eastAsia="宋体" w:cs="Times New Roman"/>
                <w:kern w:val="0"/>
                <w:sz w:val="13"/>
                <w:szCs w:val="15"/>
              </w:rPr>
              <w:t>36302</w:t>
            </w:r>
          </w:p>
        </w:tc>
        <w:tc>
          <w:tcPr>
            <w:tcW w:w="606" w:type="dxa"/>
            <w:vAlign w:val="center"/>
          </w:tcPr>
          <w:p>
            <w:pPr>
              <w:widowControl/>
              <w:spacing w:line="160" w:lineRule="exact"/>
              <w:jc w:val="center"/>
              <w:rPr>
                <w:rFonts w:ascii="Times New Roman" w:hAnsi="Times New Roman" w:eastAsia="宋体" w:cs="Times New Roman"/>
                <w:kern w:val="0"/>
                <w:sz w:val="13"/>
                <w:szCs w:val="15"/>
              </w:rPr>
            </w:pPr>
            <w:r>
              <w:rPr>
                <w:rFonts w:ascii="Times New Roman" w:hAnsi="Times New Roman" w:eastAsia="宋体" w:cs="Times New Roman"/>
                <w:kern w:val="0"/>
                <w:sz w:val="13"/>
                <w:szCs w:val="15"/>
              </w:rPr>
              <w:t>30808</w:t>
            </w:r>
          </w:p>
        </w:tc>
        <w:tc>
          <w:tcPr>
            <w:tcW w:w="606" w:type="dxa"/>
            <w:vAlign w:val="center"/>
          </w:tcPr>
          <w:p>
            <w:pPr>
              <w:widowControl/>
              <w:spacing w:line="160" w:lineRule="exact"/>
              <w:jc w:val="center"/>
              <w:rPr>
                <w:rFonts w:ascii="Times New Roman" w:hAnsi="Times New Roman" w:eastAsia="宋体" w:cs="Times New Roman"/>
                <w:kern w:val="0"/>
                <w:sz w:val="13"/>
                <w:szCs w:val="15"/>
              </w:rPr>
            </w:pPr>
            <w:r>
              <w:rPr>
                <w:rFonts w:ascii="Times New Roman" w:hAnsi="Times New Roman" w:eastAsia="宋体" w:cs="Times New Roman"/>
                <w:kern w:val="0"/>
                <w:sz w:val="13"/>
                <w:szCs w:val="15"/>
              </w:rPr>
              <w:t>26180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trHeight w:val="113" w:hRule="atLeast"/>
        </w:trPr>
        <w:tc>
          <w:tcPr>
            <w:tcW w:w="1315" w:type="dxa"/>
            <w:vAlign w:val="center"/>
          </w:tcPr>
          <w:p>
            <w:pPr>
              <w:widowControl/>
              <w:spacing w:line="160" w:lineRule="exact"/>
              <w:jc w:val="center"/>
              <w:rPr>
                <w:rFonts w:ascii="仿宋" w:hAnsi="仿宋" w:eastAsia="仿宋" w:cs="宋体"/>
                <w:kern w:val="0"/>
                <w:sz w:val="13"/>
                <w:szCs w:val="15"/>
              </w:rPr>
            </w:pPr>
            <w:r>
              <w:rPr>
                <w:rFonts w:hint="eastAsia" w:ascii="仿宋" w:hAnsi="仿宋" w:eastAsia="仿宋" w:cs="宋体"/>
                <w:kern w:val="0"/>
                <w:sz w:val="13"/>
                <w:szCs w:val="15"/>
              </w:rPr>
              <w:t>陕西人均地区生产总值</w:t>
            </w:r>
            <w:r>
              <w:rPr>
                <w:rFonts w:ascii="仿宋" w:hAnsi="仿宋" w:eastAsia="仿宋" w:cs="Times New Roman"/>
                <w:kern w:val="0"/>
                <w:sz w:val="13"/>
              </w:rPr>
              <w:t>/</w:t>
            </w:r>
            <w:r>
              <w:rPr>
                <w:rFonts w:ascii="仿宋" w:hAnsi="仿宋" w:eastAsia="仿宋" w:cs="宋体"/>
                <w:kern w:val="0"/>
                <w:sz w:val="13"/>
              </w:rPr>
              <w:t>全国人均国内生产总值</w:t>
            </w:r>
          </w:p>
        </w:tc>
        <w:tc>
          <w:tcPr>
            <w:tcW w:w="606" w:type="dxa"/>
            <w:vAlign w:val="center"/>
          </w:tcPr>
          <w:p>
            <w:pPr>
              <w:widowControl/>
              <w:spacing w:line="160" w:lineRule="exact"/>
              <w:jc w:val="center"/>
              <w:rPr>
                <w:rFonts w:ascii="Times New Roman" w:hAnsi="Times New Roman" w:eastAsia="宋体" w:cs="Times New Roman"/>
                <w:kern w:val="0"/>
                <w:sz w:val="13"/>
                <w:szCs w:val="15"/>
              </w:rPr>
            </w:pPr>
            <w:r>
              <w:rPr>
                <w:rFonts w:ascii="Times New Roman" w:hAnsi="Times New Roman" w:eastAsia="宋体" w:cs="Times New Roman"/>
                <w:kern w:val="0"/>
                <w:sz w:val="13"/>
                <w:szCs w:val="15"/>
              </w:rPr>
              <w:t>0.9401</w:t>
            </w:r>
          </w:p>
        </w:tc>
        <w:tc>
          <w:tcPr>
            <w:tcW w:w="606" w:type="dxa"/>
            <w:vAlign w:val="center"/>
          </w:tcPr>
          <w:p>
            <w:pPr>
              <w:widowControl/>
              <w:spacing w:line="160" w:lineRule="exact"/>
              <w:jc w:val="center"/>
              <w:rPr>
                <w:rFonts w:ascii="Times New Roman" w:hAnsi="Times New Roman" w:eastAsia="宋体" w:cs="Times New Roman"/>
                <w:kern w:val="0"/>
                <w:sz w:val="13"/>
                <w:szCs w:val="15"/>
              </w:rPr>
            </w:pPr>
            <w:r>
              <w:rPr>
                <w:rFonts w:ascii="Times New Roman" w:hAnsi="Times New Roman" w:eastAsia="宋体" w:cs="Times New Roman"/>
                <w:kern w:val="0"/>
                <w:sz w:val="13"/>
                <w:szCs w:val="15"/>
              </w:rPr>
              <w:t>0.9422</w:t>
            </w:r>
          </w:p>
        </w:tc>
        <w:tc>
          <w:tcPr>
            <w:tcW w:w="606" w:type="dxa"/>
            <w:vAlign w:val="center"/>
          </w:tcPr>
          <w:p>
            <w:pPr>
              <w:widowControl/>
              <w:spacing w:line="160" w:lineRule="exact"/>
              <w:jc w:val="center"/>
              <w:rPr>
                <w:rFonts w:ascii="Times New Roman" w:hAnsi="Times New Roman" w:eastAsia="宋体" w:cs="Times New Roman"/>
                <w:kern w:val="0"/>
                <w:sz w:val="13"/>
                <w:szCs w:val="15"/>
              </w:rPr>
            </w:pPr>
            <w:r>
              <w:rPr>
                <w:rFonts w:ascii="Times New Roman" w:hAnsi="Times New Roman" w:eastAsia="宋体" w:cs="Times New Roman"/>
                <w:kern w:val="0"/>
                <w:sz w:val="13"/>
                <w:szCs w:val="15"/>
              </w:rPr>
              <w:t>0.9542</w:t>
            </w:r>
          </w:p>
        </w:tc>
        <w:tc>
          <w:tcPr>
            <w:tcW w:w="606" w:type="dxa"/>
            <w:vAlign w:val="center"/>
          </w:tcPr>
          <w:p>
            <w:pPr>
              <w:widowControl/>
              <w:spacing w:line="160" w:lineRule="exact"/>
              <w:jc w:val="center"/>
              <w:rPr>
                <w:rFonts w:ascii="Times New Roman" w:hAnsi="Times New Roman" w:eastAsia="宋体" w:cs="Times New Roman"/>
                <w:kern w:val="0"/>
                <w:sz w:val="13"/>
                <w:szCs w:val="15"/>
              </w:rPr>
            </w:pPr>
            <w:r>
              <w:rPr>
                <w:rFonts w:ascii="Times New Roman" w:hAnsi="Times New Roman" w:eastAsia="宋体" w:cs="Times New Roman"/>
                <w:kern w:val="0"/>
                <w:sz w:val="13"/>
                <w:szCs w:val="15"/>
              </w:rPr>
              <w:t>0.9423</w:t>
            </w:r>
          </w:p>
        </w:tc>
        <w:tc>
          <w:tcPr>
            <w:tcW w:w="606" w:type="dxa"/>
            <w:vAlign w:val="center"/>
          </w:tcPr>
          <w:p>
            <w:pPr>
              <w:widowControl/>
              <w:spacing w:line="160" w:lineRule="exact"/>
              <w:jc w:val="center"/>
              <w:rPr>
                <w:rFonts w:ascii="Times New Roman" w:hAnsi="Times New Roman" w:eastAsia="宋体" w:cs="Times New Roman"/>
                <w:kern w:val="0"/>
                <w:sz w:val="13"/>
                <w:szCs w:val="15"/>
              </w:rPr>
            </w:pPr>
            <w:r>
              <w:rPr>
                <w:rFonts w:ascii="Times New Roman" w:hAnsi="Times New Roman" w:eastAsia="宋体" w:cs="Times New Roman"/>
                <w:kern w:val="0"/>
                <w:sz w:val="13"/>
                <w:szCs w:val="15"/>
              </w:rPr>
              <w:t>0.948</w:t>
            </w:r>
          </w:p>
        </w:tc>
        <w:tc>
          <w:tcPr>
            <w:tcW w:w="606" w:type="dxa"/>
            <w:vAlign w:val="center"/>
          </w:tcPr>
          <w:p>
            <w:pPr>
              <w:widowControl/>
              <w:spacing w:line="160" w:lineRule="exact"/>
              <w:jc w:val="center"/>
              <w:rPr>
                <w:rFonts w:ascii="Times New Roman" w:hAnsi="Times New Roman" w:eastAsia="宋体" w:cs="Times New Roman"/>
                <w:kern w:val="0"/>
                <w:sz w:val="13"/>
                <w:szCs w:val="15"/>
              </w:rPr>
            </w:pPr>
            <w:r>
              <w:rPr>
                <w:rFonts w:ascii="Times New Roman" w:hAnsi="Times New Roman" w:eastAsia="宋体" w:cs="Times New Roman"/>
                <w:kern w:val="0"/>
                <w:sz w:val="13"/>
                <w:szCs w:val="15"/>
              </w:rPr>
              <w:t>0.9948</w:t>
            </w:r>
          </w:p>
        </w:tc>
        <w:tc>
          <w:tcPr>
            <w:tcW w:w="606" w:type="dxa"/>
            <w:vAlign w:val="center"/>
          </w:tcPr>
          <w:p>
            <w:pPr>
              <w:widowControl/>
              <w:spacing w:line="160" w:lineRule="exact"/>
              <w:jc w:val="center"/>
              <w:rPr>
                <w:rFonts w:ascii="Times New Roman" w:hAnsi="Times New Roman" w:eastAsia="宋体" w:cs="Times New Roman"/>
                <w:kern w:val="0"/>
                <w:sz w:val="13"/>
                <w:szCs w:val="15"/>
              </w:rPr>
            </w:pPr>
            <w:r>
              <w:rPr>
                <w:rFonts w:ascii="Times New Roman" w:hAnsi="Times New Roman" w:eastAsia="宋体" w:cs="Times New Roman"/>
                <w:kern w:val="0"/>
                <w:sz w:val="13"/>
                <w:szCs w:val="15"/>
              </w:rPr>
              <w:t>0.987</w:t>
            </w:r>
          </w:p>
        </w:tc>
        <w:tc>
          <w:tcPr>
            <w:tcW w:w="606" w:type="dxa"/>
            <w:vAlign w:val="center"/>
          </w:tcPr>
          <w:p>
            <w:pPr>
              <w:widowControl/>
              <w:spacing w:line="160" w:lineRule="exact"/>
              <w:jc w:val="center"/>
              <w:rPr>
                <w:rFonts w:ascii="Times New Roman" w:hAnsi="Times New Roman" w:eastAsia="宋体" w:cs="Times New Roman"/>
                <w:kern w:val="0"/>
                <w:sz w:val="13"/>
                <w:szCs w:val="15"/>
              </w:rPr>
            </w:pPr>
            <w:r>
              <w:rPr>
                <w:rFonts w:ascii="Times New Roman" w:hAnsi="Times New Roman" w:eastAsia="宋体" w:cs="Times New Roman"/>
                <w:kern w:val="0"/>
                <w:sz w:val="13"/>
                <w:szCs w:val="15"/>
              </w:rPr>
              <w:t>0.9671</w:t>
            </w:r>
          </w:p>
        </w:tc>
        <w:tc>
          <w:tcPr>
            <w:tcW w:w="606" w:type="dxa"/>
            <w:vAlign w:val="center"/>
          </w:tcPr>
          <w:p>
            <w:pPr>
              <w:widowControl/>
              <w:spacing w:line="160" w:lineRule="exact"/>
              <w:jc w:val="center"/>
              <w:rPr>
                <w:rFonts w:ascii="Times New Roman" w:hAnsi="Times New Roman" w:eastAsia="宋体" w:cs="Times New Roman"/>
                <w:kern w:val="0"/>
                <w:sz w:val="13"/>
                <w:szCs w:val="15"/>
              </w:rPr>
            </w:pPr>
            <w:r>
              <w:rPr>
                <w:rFonts w:ascii="Times New Roman" w:hAnsi="Times New Roman" w:eastAsia="宋体" w:cs="Times New Roman"/>
                <w:kern w:val="0"/>
                <w:sz w:val="13"/>
                <w:szCs w:val="15"/>
              </w:rPr>
              <w:t>0.9218</w:t>
            </w:r>
          </w:p>
        </w:tc>
        <w:tc>
          <w:tcPr>
            <w:tcW w:w="606" w:type="dxa"/>
            <w:vAlign w:val="center"/>
          </w:tcPr>
          <w:p>
            <w:pPr>
              <w:widowControl/>
              <w:spacing w:line="160" w:lineRule="exact"/>
              <w:jc w:val="center"/>
              <w:rPr>
                <w:rFonts w:ascii="Times New Roman" w:hAnsi="Times New Roman" w:eastAsia="宋体" w:cs="Times New Roman"/>
                <w:kern w:val="0"/>
                <w:sz w:val="13"/>
                <w:szCs w:val="15"/>
              </w:rPr>
            </w:pPr>
            <w:r>
              <w:rPr>
                <w:rFonts w:ascii="Times New Roman" w:hAnsi="Times New Roman" w:eastAsia="宋体" w:cs="Times New Roman"/>
                <w:kern w:val="0"/>
                <w:sz w:val="13"/>
                <w:szCs w:val="15"/>
              </w:rPr>
              <w:t>0.8807</w:t>
            </w:r>
          </w:p>
        </w:tc>
        <w:tc>
          <w:tcPr>
            <w:tcW w:w="606" w:type="dxa"/>
            <w:vAlign w:val="center"/>
          </w:tcPr>
          <w:p>
            <w:pPr>
              <w:widowControl/>
              <w:spacing w:line="160" w:lineRule="exact"/>
              <w:jc w:val="center"/>
              <w:rPr>
                <w:rFonts w:ascii="Times New Roman" w:hAnsi="Times New Roman" w:eastAsia="宋体" w:cs="Times New Roman"/>
                <w:kern w:val="0"/>
                <w:sz w:val="13"/>
                <w:szCs w:val="15"/>
              </w:rPr>
            </w:pPr>
            <w:r>
              <w:rPr>
                <w:rFonts w:ascii="Times New Roman" w:hAnsi="Times New Roman" w:eastAsia="宋体" w:cs="Times New Roman"/>
                <w:kern w:val="0"/>
                <w:sz w:val="13"/>
                <w:szCs w:val="15"/>
              </w:rPr>
              <w:t>0.8383</w:t>
            </w:r>
          </w:p>
        </w:tc>
      </w:tr>
    </w:tbl>
    <w:p>
      <w:pPr>
        <w:pStyle w:val="2"/>
        <w:ind w:firstLine="482"/>
        <w:jc w:val="center"/>
        <w:rPr>
          <w:rFonts w:ascii="仿宋_GB2312" w:eastAsia="仿宋_GB2312" w:cstheme="minorBidi"/>
          <w:b/>
          <w:bCs/>
          <w:sz w:val="24"/>
        </w:rPr>
      </w:pPr>
    </w:p>
    <w:p>
      <w:pPr>
        <w:pStyle w:val="2"/>
        <w:spacing w:afterLines="50"/>
        <w:ind w:firstLine="440"/>
        <w:jc w:val="center"/>
        <w:rPr>
          <w:rFonts w:ascii="仿宋_GB2312" w:eastAsia="仿宋_GB2312" w:cstheme="minorBidi"/>
          <w:b/>
          <w:bCs/>
          <w:sz w:val="24"/>
        </w:rPr>
      </w:pPr>
      <w:r>
        <w:rPr>
          <w:sz w:val="22"/>
          <w:szCs w:val="22"/>
        </w:rPr>
        <w:drawing>
          <wp:inline distT="0" distB="0" distL="0" distR="0">
            <wp:extent cx="4856480" cy="1845945"/>
            <wp:effectExtent l="0" t="0" r="0" b="0"/>
            <wp:docPr id="71" name="图表 6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Pr>
          <w:rFonts w:ascii="仿宋_GB2312" w:eastAsia="仿宋_GB2312" w:cstheme="minorBidi"/>
          <w:b/>
          <w:bCs/>
          <w:sz w:val="24"/>
        </w:rPr>
        <w:t>图</w:t>
      </w:r>
      <w:r>
        <w:rPr>
          <w:rFonts w:eastAsia="仿宋_GB2312"/>
          <w:b/>
          <w:bCs/>
          <w:sz w:val="24"/>
        </w:rPr>
        <w:t xml:space="preserve">2 </w:t>
      </w:r>
      <w:r>
        <w:rPr>
          <w:rFonts w:hint="eastAsia" w:ascii="仿宋_GB2312" w:eastAsia="仿宋_GB2312" w:cstheme="minorBidi"/>
          <w:b/>
          <w:bCs/>
          <w:sz w:val="24"/>
        </w:rPr>
        <w:t xml:space="preserve"> </w:t>
      </w:r>
      <w:r>
        <w:rPr>
          <w:rFonts w:eastAsia="仿宋_GB2312"/>
          <w:b/>
          <w:bCs/>
          <w:sz w:val="24"/>
        </w:rPr>
        <w:t>2009-2019</w:t>
      </w:r>
      <w:r>
        <w:rPr>
          <w:rFonts w:ascii="仿宋_GB2312" w:eastAsia="仿宋_GB2312" w:cstheme="minorBidi"/>
          <w:b/>
          <w:bCs/>
          <w:sz w:val="24"/>
        </w:rPr>
        <w:t>年全国生产总值与陕西地区生产总值（亿元）</w:t>
      </w:r>
    </w:p>
    <w:p>
      <w:pPr>
        <w:pStyle w:val="2"/>
        <w:spacing w:afterLines="50"/>
        <w:ind w:firstLine="440"/>
        <w:jc w:val="center"/>
        <w:rPr>
          <w:rFonts w:eastAsia="仿宋_GB2312"/>
          <w:b/>
          <w:bCs/>
          <w:sz w:val="24"/>
        </w:rPr>
      </w:pPr>
      <w:r>
        <w:rPr>
          <w:sz w:val="22"/>
          <w:szCs w:val="22"/>
        </w:rPr>
        <w:drawing>
          <wp:inline distT="0" distB="0" distL="0" distR="0">
            <wp:extent cx="5144135" cy="1987550"/>
            <wp:effectExtent l="0" t="0" r="0" b="0"/>
            <wp:docPr id="72" name="图表 6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Pr>
          <w:rFonts w:eastAsia="仿宋_GB2312"/>
          <w:b/>
          <w:bCs/>
          <w:sz w:val="24"/>
        </w:rPr>
        <w:t>图</w:t>
      </w:r>
      <w:r>
        <w:rPr>
          <w:rFonts w:hint="eastAsia" w:eastAsia="仿宋_GB2312"/>
          <w:b/>
          <w:bCs/>
          <w:sz w:val="24"/>
        </w:rPr>
        <w:t xml:space="preserve">3  </w:t>
      </w:r>
      <w:r>
        <w:rPr>
          <w:rFonts w:eastAsia="仿宋_GB2312"/>
          <w:b/>
          <w:bCs/>
          <w:sz w:val="24"/>
        </w:rPr>
        <w:t>2009</w:t>
      </w:r>
      <w:r>
        <w:rPr>
          <w:rFonts w:hint="eastAsia" w:eastAsia="仿宋_GB2312"/>
          <w:b/>
          <w:bCs/>
          <w:sz w:val="24"/>
        </w:rPr>
        <w:t>-</w:t>
      </w:r>
      <w:r>
        <w:rPr>
          <w:rFonts w:eastAsia="仿宋_GB2312"/>
          <w:b/>
          <w:bCs/>
          <w:sz w:val="24"/>
        </w:rPr>
        <w:t>2019年全国人均国内生产总值与陕西人均地区生产总值（亿元）</w:t>
      </w:r>
    </w:p>
    <w:p>
      <w:pPr>
        <w:pStyle w:val="2"/>
        <w:spacing w:afterLines="50"/>
        <w:ind w:firstLine="440"/>
        <w:jc w:val="center"/>
        <w:rPr>
          <w:rFonts w:eastAsia="仿宋_GB2312"/>
          <w:b/>
          <w:bCs/>
          <w:sz w:val="24"/>
        </w:rPr>
      </w:pPr>
      <w:r>
        <w:rPr>
          <w:sz w:val="22"/>
          <w:szCs w:val="22"/>
        </w:rPr>
        <w:drawing>
          <wp:inline distT="0" distB="0" distL="0" distR="0">
            <wp:extent cx="4937760" cy="1550035"/>
            <wp:effectExtent l="0" t="0" r="0" b="0"/>
            <wp:docPr id="73" name="图表 7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Pr>
          <w:rFonts w:eastAsia="仿宋_GB2312"/>
          <w:b/>
          <w:bCs/>
          <w:sz w:val="24"/>
        </w:rPr>
        <w:t>图</w:t>
      </w:r>
      <w:r>
        <w:rPr>
          <w:rFonts w:hint="eastAsia" w:eastAsia="仿宋_GB2312"/>
          <w:b/>
          <w:bCs/>
          <w:sz w:val="24"/>
        </w:rPr>
        <w:t xml:space="preserve">4  </w:t>
      </w:r>
      <w:r>
        <w:rPr>
          <w:rFonts w:eastAsia="仿宋_GB2312"/>
          <w:b/>
          <w:bCs/>
          <w:sz w:val="24"/>
        </w:rPr>
        <w:t>2009</w:t>
      </w:r>
      <w:r>
        <w:rPr>
          <w:rFonts w:hint="eastAsia" w:eastAsia="仿宋_GB2312"/>
          <w:b/>
          <w:bCs/>
          <w:sz w:val="24"/>
        </w:rPr>
        <w:t>-</w:t>
      </w:r>
      <w:r>
        <w:rPr>
          <w:rFonts w:eastAsia="仿宋_GB2312"/>
          <w:b/>
          <w:bCs/>
          <w:sz w:val="24"/>
        </w:rPr>
        <w:t>2019年陕西人均地区生产总值/全国人均国内生产总值</w:t>
      </w:r>
    </w:p>
    <w:p>
      <w:pPr>
        <w:adjustRightInd w:val="0"/>
        <w:snapToGrid w:val="0"/>
        <w:spacing w:line="580" w:lineRule="exact"/>
        <w:ind w:firstLine="482"/>
        <w:jc w:val="center"/>
        <w:rPr>
          <w:rFonts w:ascii="宋体" w:hAnsi="宋体" w:eastAsia="宋体" w:cs="宋体"/>
          <w:b/>
          <w:bCs/>
          <w:sz w:val="22"/>
        </w:rPr>
      </w:pPr>
      <w:r>
        <w:rPr>
          <w:rFonts w:hint="eastAsia" w:ascii="仿宋_GB2312" w:hAnsi="Times New Roman" w:eastAsia="仿宋_GB2312"/>
          <w:b/>
          <w:bCs/>
          <w:sz w:val="24"/>
        </w:rPr>
        <w:t>表</w:t>
      </w:r>
      <w:r>
        <w:rPr>
          <w:rFonts w:ascii="Times New Roman" w:hAnsi="Times New Roman" w:eastAsia="仿宋_GB2312" w:cs="Times New Roman"/>
          <w:b/>
          <w:bCs/>
          <w:sz w:val="24"/>
        </w:rPr>
        <w:t>5</w:t>
      </w:r>
      <w:r>
        <w:rPr>
          <w:rFonts w:hint="eastAsia" w:ascii="Times New Roman" w:hAnsi="Times New Roman" w:eastAsia="仿宋_GB2312" w:cs="Times New Roman"/>
          <w:b/>
          <w:bCs/>
          <w:sz w:val="24"/>
        </w:rPr>
        <w:t xml:space="preserve">  </w:t>
      </w:r>
      <w:r>
        <w:rPr>
          <w:rFonts w:hint="eastAsia" w:ascii="仿宋_GB2312" w:hAnsi="Times New Roman" w:eastAsia="仿宋_GB2312"/>
          <w:b/>
          <w:bCs/>
          <w:sz w:val="24"/>
        </w:rPr>
        <w:t>全国及陕西民用汽车保有情况</w:t>
      </w:r>
      <w:r>
        <w:rPr>
          <w:rStyle w:val="24"/>
          <w:rFonts w:ascii="宋体" w:hAnsi="宋体" w:eastAsia="宋体" w:cs="宋体"/>
          <w:b/>
          <w:bCs/>
          <w:sz w:val="22"/>
        </w:rPr>
        <w:footnoteReference w:id="6"/>
      </w:r>
    </w:p>
    <w:tbl>
      <w:tblPr>
        <w:tblStyle w:val="17"/>
        <w:tblW w:w="83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917"/>
        <w:gridCol w:w="452"/>
        <w:gridCol w:w="517"/>
        <w:gridCol w:w="517"/>
        <w:gridCol w:w="516"/>
        <w:gridCol w:w="516"/>
        <w:gridCol w:w="516"/>
        <w:gridCol w:w="516"/>
        <w:gridCol w:w="516"/>
        <w:gridCol w:w="451"/>
        <w:gridCol w:w="451"/>
        <w:gridCol w:w="4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2917" w:type="dxa"/>
            <w:tcBorders>
              <w:tl2br w:val="nil"/>
              <w:tr2bl w:val="nil"/>
            </w:tcBorders>
            <w:shd w:val="clear" w:color="auto" w:fill="auto"/>
            <w:tcMar>
              <w:top w:w="15" w:type="dxa"/>
              <w:left w:w="15" w:type="dxa"/>
              <w:right w:w="15" w:type="dxa"/>
            </w:tcMar>
            <w:vAlign w:val="center"/>
          </w:tcPr>
          <w:p>
            <w:pPr>
              <w:pStyle w:val="27"/>
              <w:spacing w:line="160" w:lineRule="exact"/>
              <w:jc w:val="center"/>
              <w:rPr>
                <w:rFonts w:ascii="仿宋" w:hAnsi="仿宋" w:eastAsia="仿宋"/>
                <w:sz w:val="15"/>
                <w:szCs w:val="15"/>
              </w:rPr>
            </w:pPr>
          </w:p>
        </w:tc>
        <w:tc>
          <w:tcPr>
            <w:tcW w:w="452" w:type="dxa"/>
            <w:tcBorders>
              <w:tl2br w:val="nil"/>
              <w:tr2bl w:val="nil"/>
            </w:tcBorders>
            <w:shd w:val="clear" w:color="auto" w:fill="auto"/>
            <w:tcMar>
              <w:top w:w="15" w:type="dxa"/>
              <w:left w:w="15" w:type="dxa"/>
              <w:right w:w="15" w:type="dxa"/>
            </w:tcMar>
            <w:vAlign w:val="center"/>
          </w:tcPr>
          <w:p>
            <w:pPr>
              <w:pStyle w:val="27"/>
              <w:spacing w:line="160" w:lineRule="exact"/>
              <w:jc w:val="center"/>
              <w:rPr>
                <w:sz w:val="15"/>
                <w:szCs w:val="15"/>
              </w:rPr>
            </w:pPr>
            <w:r>
              <w:rPr>
                <w:rFonts w:hint="eastAsia"/>
                <w:sz w:val="15"/>
                <w:szCs w:val="15"/>
              </w:rPr>
              <w:t>2019</w:t>
            </w:r>
          </w:p>
        </w:tc>
        <w:tc>
          <w:tcPr>
            <w:tcW w:w="517" w:type="dxa"/>
            <w:tcBorders>
              <w:tl2br w:val="nil"/>
              <w:tr2bl w:val="nil"/>
            </w:tcBorders>
            <w:shd w:val="clear" w:color="auto" w:fill="auto"/>
            <w:tcMar>
              <w:top w:w="15" w:type="dxa"/>
              <w:left w:w="15" w:type="dxa"/>
              <w:right w:w="15" w:type="dxa"/>
            </w:tcMar>
            <w:vAlign w:val="center"/>
          </w:tcPr>
          <w:p>
            <w:pPr>
              <w:pStyle w:val="27"/>
              <w:spacing w:line="160" w:lineRule="exact"/>
              <w:jc w:val="center"/>
              <w:rPr>
                <w:sz w:val="15"/>
                <w:szCs w:val="15"/>
              </w:rPr>
            </w:pPr>
            <w:r>
              <w:rPr>
                <w:rFonts w:hint="eastAsia"/>
                <w:sz w:val="15"/>
                <w:szCs w:val="15"/>
              </w:rPr>
              <w:t>2018</w:t>
            </w:r>
          </w:p>
        </w:tc>
        <w:tc>
          <w:tcPr>
            <w:tcW w:w="517" w:type="dxa"/>
            <w:tcBorders>
              <w:tl2br w:val="nil"/>
              <w:tr2bl w:val="nil"/>
            </w:tcBorders>
            <w:shd w:val="clear" w:color="auto" w:fill="auto"/>
            <w:tcMar>
              <w:top w:w="15" w:type="dxa"/>
              <w:left w:w="15" w:type="dxa"/>
              <w:right w:w="15" w:type="dxa"/>
            </w:tcMar>
            <w:vAlign w:val="center"/>
          </w:tcPr>
          <w:p>
            <w:pPr>
              <w:pStyle w:val="27"/>
              <w:spacing w:line="160" w:lineRule="exact"/>
              <w:jc w:val="center"/>
              <w:rPr>
                <w:sz w:val="15"/>
                <w:szCs w:val="15"/>
              </w:rPr>
            </w:pPr>
            <w:r>
              <w:rPr>
                <w:rFonts w:hint="eastAsia"/>
                <w:sz w:val="15"/>
                <w:szCs w:val="15"/>
              </w:rPr>
              <w:t>2017</w:t>
            </w:r>
          </w:p>
        </w:tc>
        <w:tc>
          <w:tcPr>
            <w:tcW w:w="516" w:type="dxa"/>
            <w:tcBorders>
              <w:tl2br w:val="nil"/>
              <w:tr2bl w:val="nil"/>
            </w:tcBorders>
            <w:shd w:val="clear" w:color="auto" w:fill="auto"/>
            <w:tcMar>
              <w:top w:w="15" w:type="dxa"/>
              <w:left w:w="15" w:type="dxa"/>
              <w:right w:w="15" w:type="dxa"/>
            </w:tcMar>
            <w:vAlign w:val="center"/>
          </w:tcPr>
          <w:p>
            <w:pPr>
              <w:pStyle w:val="27"/>
              <w:spacing w:line="160" w:lineRule="exact"/>
              <w:jc w:val="center"/>
              <w:rPr>
                <w:sz w:val="15"/>
                <w:szCs w:val="15"/>
              </w:rPr>
            </w:pPr>
            <w:r>
              <w:rPr>
                <w:rFonts w:hint="eastAsia"/>
                <w:sz w:val="15"/>
                <w:szCs w:val="15"/>
              </w:rPr>
              <w:t>2016</w:t>
            </w:r>
          </w:p>
        </w:tc>
        <w:tc>
          <w:tcPr>
            <w:tcW w:w="516" w:type="dxa"/>
            <w:tcBorders>
              <w:tl2br w:val="nil"/>
              <w:tr2bl w:val="nil"/>
            </w:tcBorders>
            <w:shd w:val="clear" w:color="auto" w:fill="auto"/>
            <w:tcMar>
              <w:top w:w="15" w:type="dxa"/>
              <w:left w:w="15" w:type="dxa"/>
              <w:right w:w="15" w:type="dxa"/>
            </w:tcMar>
            <w:vAlign w:val="center"/>
          </w:tcPr>
          <w:p>
            <w:pPr>
              <w:pStyle w:val="27"/>
              <w:spacing w:line="160" w:lineRule="exact"/>
              <w:jc w:val="center"/>
              <w:rPr>
                <w:sz w:val="15"/>
                <w:szCs w:val="15"/>
              </w:rPr>
            </w:pPr>
            <w:r>
              <w:rPr>
                <w:rFonts w:hint="eastAsia"/>
                <w:sz w:val="15"/>
                <w:szCs w:val="15"/>
              </w:rPr>
              <w:t>2015</w:t>
            </w:r>
          </w:p>
        </w:tc>
        <w:tc>
          <w:tcPr>
            <w:tcW w:w="516" w:type="dxa"/>
            <w:tcBorders>
              <w:tl2br w:val="nil"/>
              <w:tr2bl w:val="nil"/>
            </w:tcBorders>
            <w:shd w:val="clear" w:color="auto" w:fill="auto"/>
            <w:tcMar>
              <w:top w:w="15" w:type="dxa"/>
              <w:left w:w="15" w:type="dxa"/>
              <w:right w:w="15" w:type="dxa"/>
            </w:tcMar>
            <w:vAlign w:val="center"/>
          </w:tcPr>
          <w:p>
            <w:pPr>
              <w:pStyle w:val="27"/>
              <w:spacing w:line="160" w:lineRule="exact"/>
              <w:jc w:val="center"/>
              <w:rPr>
                <w:sz w:val="15"/>
                <w:szCs w:val="15"/>
              </w:rPr>
            </w:pPr>
            <w:r>
              <w:rPr>
                <w:rFonts w:hint="eastAsia"/>
                <w:sz w:val="15"/>
                <w:szCs w:val="15"/>
              </w:rPr>
              <w:t>2014</w:t>
            </w:r>
          </w:p>
        </w:tc>
        <w:tc>
          <w:tcPr>
            <w:tcW w:w="516" w:type="dxa"/>
            <w:tcBorders>
              <w:tl2br w:val="nil"/>
              <w:tr2bl w:val="nil"/>
            </w:tcBorders>
            <w:shd w:val="clear" w:color="auto" w:fill="auto"/>
            <w:tcMar>
              <w:top w:w="15" w:type="dxa"/>
              <w:left w:w="15" w:type="dxa"/>
              <w:right w:w="15" w:type="dxa"/>
            </w:tcMar>
            <w:vAlign w:val="center"/>
          </w:tcPr>
          <w:p>
            <w:pPr>
              <w:pStyle w:val="27"/>
              <w:spacing w:line="160" w:lineRule="exact"/>
              <w:jc w:val="center"/>
              <w:rPr>
                <w:sz w:val="15"/>
                <w:szCs w:val="15"/>
              </w:rPr>
            </w:pPr>
            <w:r>
              <w:rPr>
                <w:rFonts w:hint="eastAsia"/>
                <w:sz w:val="15"/>
                <w:szCs w:val="15"/>
              </w:rPr>
              <w:t>2013</w:t>
            </w:r>
          </w:p>
        </w:tc>
        <w:tc>
          <w:tcPr>
            <w:tcW w:w="516" w:type="dxa"/>
            <w:tcBorders>
              <w:tl2br w:val="nil"/>
              <w:tr2bl w:val="nil"/>
            </w:tcBorders>
            <w:shd w:val="clear" w:color="auto" w:fill="auto"/>
            <w:tcMar>
              <w:top w:w="15" w:type="dxa"/>
              <w:left w:w="15" w:type="dxa"/>
              <w:right w:w="15" w:type="dxa"/>
            </w:tcMar>
            <w:vAlign w:val="center"/>
          </w:tcPr>
          <w:p>
            <w:pPr>
              <w:pStyle w:val="27"/>
              <w:spacing w:line="160" w:lineRule="exact"/>
              <w:jc w:val="center"/>
              <w:rPr>
                <w:sz w:val="15"/>
                <w:szCs w:val="15"/>
              </w:rPr>
            </w:pPr>
            <w:r>
              <w:rPr>
                <w:rFonts w:hint="eastAsia"/>
                <w:sz w:val="15"/>
                <w:szCs w:val="15"/>
              </w:rPr>
              <w:t>2012</w:t>
            </w:r>
          </w:p>
        </w:tc>
        <w:tc>
          <w:tcPr>
            <w:tcW w:w="451" w:type="dxa"/>
            <w:tcBorders>
              <w:tl2br w:val="nil"/>
              <w:tr2bl w:val="nil"/>
            </w:tcBorders>
            <w:shd w:val="clear" w:color="auto" w:fill="auto"/>
            <w:tcMar>
              <w:top w:w="15" w:type="dxa"/>
              <w:left w:w="15" w:type="dxa"/>
              <w:right w:w="15" w:type="dxa"/>
            </w:tcMar>
            <w:vAlign w:val="center"/>
          </w:tcPr>
          <w:p>
            <w:pPr>
              <w:pStyle w:val="27"/>
              <w:spacing w:line="160" w:lineRule="exact"/>
              <w:jc w:val="center"/>
              <w:rPr>
                <w:sz w:val="15"/>
                <w:szCs w:val="15"/>
              </w:rPr>
            </w:pPr>
            <w:r>
              <w:rPr>
                <w:rFonts w:hint="eastAsia"/>
                <w:sz w:val="15"/>
                <w:szCs w:val="15"/>
              </w:rPr>
              <w:t>2011</w:t>
            </w:r>
          </w:p>
        </w:tc>
        <w:tc>
          <w:tcPr>
            <w:tcW w:w="451" w:type="dxa"/>
            <w:tcBorders>
              <w:tl2br w:val="nil"/>
              <w:tr2bl w:val="nil"/>
            </w:tcBorders>
            <w:shd w:val="clear" w:color="auto" w:fill="auto"/>
            <w:tcMar>
              <w:top w:w="15" w:type="dxa"/>
              <w:left w:w="15" w:type="dxa"/>
              <w:right w:w="15" w:type="dxa"/>
            </w:tcMar>
            <w:vAlign w:val="center"/>
          </w:tcPr>
          <w:p>
            <w:pPr>
              <w:pStyle w:val="27"/>
              <w:spacing w:line="160" w:lineRule="exact"/>
              <w:jc w:val="center"/>
              <w:rPr>
                <w:sz w:val="15"/>
                <w:szCs w:val="15"/>
              </w:rPr>
            </w:pPr>
            <w:r>
              <w:rPr>
                <w:rFonts w:hint="eastAsia"/>
                <w:sz w:val="15"/>
                <w:szCs w:val="15"/>
              </w:rPr>
              <w:t>2010</w:t>
            </w:r>
          </w:p>
        </w:tc>
        <w:tc>
          <w:tcPr>
            <w:tcW w:w="451" w:type="dxa"/>
            <w:tcBorders>
              <w:tl2br w:val="nil"/>
              <w:tr2bl w:val="nil"/>
            </w:tcBorders>
            <w:shd w:val="clear" w:color="auto" w:fill="auto"/>
            <w:tcMar>
              <w:top w:w="15" w:type="dxa"/>
              <w:left w:w="15" w:type="dxa"/>
              <w:right w:w="15" w:type="dxa"/>
            </w:tcMar>
            <w:vAlign w:val="center"/>
          </w:tcPr>
          <w:p>
            <w:pPr>
              <w:pStyle w:val="27"/>
              <w:spacing w:line="160" w:lineRule="exact"/>
              <w:jc w:val="center"/>
              <w:rPr>
                <w:sz w:val="15"/>
                <w:szCs w:val="15"/>
              </w:rPr>
            </w:pPr>
            <w:r>
              <w:rPr>
                <w:rFonts w:hint="eastAsia"/>
                <w:sz w:val="15"/>
                <w:szCs w:val="15"/>
              </w:rPr>
              <w:t>2009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2917" w:type="dxa"/>
            <w:tcBorders>
              <w:tl2br w:val="nil"/>
              <w:tr2bl w:val="nil"/>
            </w:tcBorders>
            <w:shd w:val="clear" w:color="auto" w:fill="auto"/>
            <w:tcMar>
              <w:top w:w="15" w:type="dxa"/>
              <w:left w:w="15" w:type="dxa"/>
              <w:right w:w="15" w:type="dxa"/>
            </w:tcMar>
            <w:vAlign w:val="center"/>
          </w:tcPr>
          <w:p>
            <w:pPr>
              <w:pStyle w:val="27"/>
              <w:spacing w:line="160" w:lineRule="exact"/>
              <w:jc w:val="center"/>
              <w:rPr>
                <w:rFonts w:ascii="仿宋" w:hAnsi="仿宋" w:eastAsia="仿宋"/>
                <w:sz w:val="15"/>
                <w:szCs w:val="15"/>
              </w:rPr>
            </w:pPr>
            <w:r>
              <w:rPr>
                <w:rFonts w:hint="eastAsia" w:ascii="仿宋" w:hAnsi="仿宋" w:eastAsia="仿宋"/>
                <w:sz w:val="15"/>
                <w:szCs w:val="15"/>
              </w:rPr>
              <w:t>陕西民用汽车拥有量</w:t>
            </w:r>
            <w:r>
              <w:rPr>
                <w:rFonts w:ascii="仿宋" w:hAnsi="仿宋" w:eastAsia="仿宋"/>
                <w:sz w:val="15"/>
                <w:szCs w:val="15"/>
              </w:rPr>
              <w:t>(</w:t>
            </w:r>
            <w:r>
              <w:rPr>
                <w:rFonts w:hint="eastAsia" w:ascii="仿宋" w:hAnsi="仿宋" w:eastAsia="仿宋"/>
                <w:sz w:val="15"/>
                <w:szCs w:val="15"/>
              </w:rPr>
              <w:t>万辆</w:t>
            </w:r>
            <w:r>
              <w:rPr>
                <w:rFonts w:ascii="仿宋" w:hAnsi="仿宋" w:eastAsia="仿宋"/>
                <w:sz w:val="15"/>
                <w:szCs w:val="15"/>
              </w:rPr>
              <w:t>)</w:t>
            </w:r>
          </w:p>
        </w:tc>
        <w:tc>
          <w:tcPr>
            <w:tcW w:w="452" w:type="dxa"/>
            <w:tcBorders>
              <w:tl2br w:val="nil"/>
              <w:tr2bl w:val="nil"/>
            </w:tcBorders>
            <w:shd w:val="clear" w:color="auto" w:fill="auto"/>
            <w:tcMar>
              <w:top w:w="15" w:type="dxa"/>
              <w:left w:w="15" w:type="dxa"/>
              <w:right w:w="15" w:type="dxa"/>
            </w:tcMar>
            <w:vAlign w:val="center"/>
          </w:tcPr>
          <w:p>
            <w:pPr>
              <w:pStyle w:val="27"/>
              <w:spacing w:line="160" w:lineRule="exact"/>
              <w:jc w:val="center"/>
              <w:rPr>
                <w:sz w:val="15"/>
                <w:szCs w:val="15"/>
              </w:rPr>
            </w:pPr>
            <w:r>
              <w:rPr>
                <w:rFonts w:hint="eastAsia"/>
                <w:sz w:val="15"/>
                <w:szCs w:val="15"/>
              </w:rPr>
              <w:t>682</w:t>
            </w:r>
          </w:p>
        </w:tc>
        <w:tc>
          <w:tcPr>
            <w:tcW w:w="517" w:type="dxa"/>
            <w:tcBorders>
              <w:tl2br w:val="nil"/>
              <w:tr2bl w:val="nil"/>
            </w:tcBorders>
            <w:shd w:val="clear" w:color="auto" w:fill="auto"/>
            <w:tcMar>
              <w:top w:w="15" w:type="dxa"/>
              <w:left w:w="15" w:type="dxa"/>
              <w:right w:w="15" w:type="dxa"/>
            </w:tcMar>
            <w:vAlign w:val="center"/>
          </w:tcPr>
          <w:p>
            <w:pPr>
              <w:pStyle w:val="27"/>
              <w:spacing w:line="160" w:lineRule="exact"/>
              <w:jc w:val="center"/>
              <w:rPr>
                <w:sz w:val="15"/>
                <w:szCs w:val="15"/>
              </w:rPr>
            </w:pPr>
            <w:r>
              <w:rPr>
                <w:rFonts w:hint="eastAsia"/>
                <w:sz w:val="15"/>
                <w:szCs w:val="15"/>
              </w:rPr>
              <w:t>616</w:t>
            </w:r>
          </w:p>
        </w:tc>
        <w:tc>
          <w:tcPr>
            <w:tcW w:w="517" w:type="dxa"/>
            <w:tcBorders>
              <w:tl2br w:val="nil"/>
              <w:tr2bl w:val="nil"/>
            </w:tcBorders>
            <w:shd w:val="clear" w:color="auto" w:fill="auto"/>
            <w:tcMar>
              <w:top w:w="15" w:type="dxa"/>
              <w:left w:w="15" w:type="dxa"/>
              <w:right w:w="15" w:type="dxa"/>
            </w:tcMar>
            <w:vAlign w:val="center"/>
          </w:tcPr>
          <w:p>
            <w:pPr>
              <w:pStyle w:val="27"/>
              <w:spacing w:line="160" w:lineRule="exact"/>
              <w:jc w:val="center"/>
              <w:rPr>
                <w:sz w:val="15"/>
                <w:szCs w:val="15"/>
              </w:rPr>
            </w:pPr>
            <w:r>
              <w:rPr>
                <w:rFonts w:hint="eastAsia"/>
                <w:sz w:val="15"/>
                <w:szCs w:val="15"/>
              </w:rPr>
              <w:t>549</w:t>
            </w:r>
          </w:p>
        </w:tc>
        <w:tc>
          <w:tcPr>
            <w:tcW w:w="516" w:type="dxa"/>
            <w:tcBorders>
              <w:tl2br w:val="nil"/>
              <w:tr2bl w:val="nil"/>
            </w:tcBorders>
            <w:shd w:val="clear" w:color="auto" w:fill="auto"/>
            <w:tcMar>
              <w:top w:w="15" w:type="dxa"/>
              <w:left w:w="15" w:type="dxa"/>
              <w:right w:w="15" w:type="dxa"/>
            </w:tcMar>
            <w:vAlign w:val="center"/>
          </w:tcPr>
          <w:p>
            <w:pPr>
              <w:pStyle w:val="27"/>
              <w:spacing w:line="160" w:lineRule="exact"/>
              <w:jc w:val="center"/>
              <w:rPr>
                <w:sz w:val="15"/>
                <w:szCs w:val="15"/>
              </w:rPr>
            </w:pPr>
            <w:r>
              <w:rPr>
                <w:rFonts w:hint="eastAsia"/>
                <w:sz w:val="15"/>
                <w:szCs w:val="15"/>
              </w:rPr>
              <w:t>491</w:t>
            </w:r>
          </w:p>
        </w:tc>
        <w:tc>
          <w:tcPr>
            <w:tcW w:w="516" w:type="dxa"/>
            <w:tcBorders>
              <w:tl2br w:val="nil"/>
              <w:tr2bl w:val="nil"/>
            </w:tcBorders>
            <w:shd w:val="clear" w:color="auto" w:fill="auto"/>
            <w:tcMar>
              <w:top w:w="15" w:type="dxa"/>
              <w:left w:w="15" w:type="dxa"/>
              <w:right w:w="15" w:type="dxa"/>
            </w:tcMar>
            <w:vAlign w:val="center"/>
          </w:tcPr>
          <w:p>
            <w:pPr>
              <w:pStyle w:val="27"/>
              <w:spacing w:line="160" w:lineRule="exact"/>
              <w:jc w:val="center"/>
              <w:rPr>
                <w:sz w:val="15"/>
                <w:szCs w:val="15"/>
              </w:rPr>
            </w:pPr>
            <w:r>
              <w:rPr>
                <w:rFonts w:hint="eastAsia"/>
                <w:sz w:val="15"/>
                <w:szCs w:val="15"/>
              </w:rPr>
              <w:t>438</w:t>
            </w:r>
          </w:p>
        </w:tc>
        <w:tc>
          <w:tcPr>
            <w:tcW w:w="516" w:type="dxa"/>
            <w:tcBorders>
              <w:tl2br w:val="nil"/>
              <w:tr2bl w:val="nil"/>
            </w:tcBorders>
            <w:shd w:val="clear" w:color="auto" w:fill="auto"/>
            <w:tcMar>
              <w:top w:w="15" w:type="dxa"/>
              <w:left w:w="15" w:type="dxa"/>
              <w:right w:w="15" w:type="dxa"/>
            </w:tcMar>
            <w:vAlign w:val="center"/>
          </w:tcPr>
          <w:p>
            <w:pPr>
              <w:pStyle w:val="27"/>
              <w:spacing w:line="160" w:lineRule="exact"/>
              <w:jc w:val="center"/>
              <w:rPr>
                <w:sz w:val="15"/>
                <w:szCs w:val="15"/>
              </w:rPr>
            </w:pPr>
            <w:r>
              <w:rPr>
                <w:rFonts w:hint="eastAsia"/>
                <w:sz w:val="15"/>
                <w:szCs w:val="15"/>
              </w:rPr>
              <w:t>384</w:t>
            </w:r>
          </w:p>
        </w:tc>
        <w:tc>
          <w:tcPr>
            <w:tcW w:w="516" w:type="dxa"/>
            <w:tcBorders>
              <w:tl2br w:val="nil"/>
              <w:tr2bl w:val="nil"/>
            </w:tcBorders>
            <w:shd w:val="clear" w:color="auto" w:fill="auto"/>
            <w:tcMar>
              <w:top w:w="15" w:type="dxa"/>
              <w:left w:w="15" w:type="dxa"/>
              <w:right w:w="15" w:type="dxa"/>
            </w:tcMar>
            <w:vAlign w:val="center"/>
          </w:tcPr>
          <w:p>
            <w:pPr>
              <w:pStyle w:val="27"/>
              <w:spacing w:line="160" w:lineRule="exact"/>
              <w:jc w:val="center"/>
              <w:rPr>
                <w:sz w:val="15"/>
                <w:szCs w:val="15"/>
              </w:rPr>
            </w:pPr>
            <w:r>
              <w:rPr>
                <w:rFonts w:hint="eastAsia"/>
                <w:sz w:val="15"/>
                <w:szCs w:val="15"/>
              </w:rPr>
              <w:t>336</w:t>
            </w:r>
          </w:p>
        </w:tc>
        <w:tc>
          <w:tcPr>
            <w:tcW w:w="516" w:type="dxa"/>
            <w:tcBorders>
              <w:tl2br w:val="nil"/>
              <w:tr2bl w:val="nil"/>
            </w:tcBorders>
            <w:shd w:val="clear" w:color="auto" w:fill="auto"/>
            <w:tcMar>
              <w:top w:w="15" w:type="dxa"/>
              <w:left w:w="15" w:type="dxa"/>
              <w:right w:w="15" w:type="dxa"/>
            </w:tcMar>
            <w:vAlign w:val="center"/>
          </w:tcPr>
          <w:p>
            <w:pPr>
              <w:pStyle w:val="27"/>
              <w:spacing w:line="160" w:lineRule="exact"/>
              <w:jc w:val="center"/>
              <w:rPr>
                <w:sz w:val="15"/>
                <w:szCs w:val="15"/>
              </w:rPr>
            </w:pPr>
            <w:r>
              <w:rPr>
                <w:rFonts w:hint="eastAsia"/>
                <w:sz w:val="15"/>
                <w:szCs w:val="15"/>
              </w:rPr>
              <w:t>284</w:t>
            </w:r>
          </w:p>
        </w:tc>
        <w:tc>
          <w:tcPr>
            <w:tcW w:w="451" w:type="dxa"/>
            <w:tcBorders>
              <w:tl2br w:val="nil"/>
              <w:tr2bl w:val="nil"/>
            </w:tcBorders>
            <w:shd w:val="clear" w:color="auto" w:fill="auto"/>
            <w:tcMar>
              <w:top w:w="15" w:type="dxa"/>
              <w:left w:w="15" w:type="dxa"/>
              <w:right w:w="15" w:type="dxa"/>
            </w:tcMar>
            <w:vAlign w:val="center"/>
          </w:tcPr>
          <w:p>
            <w:pPr>
              <w:pStyle w:val="27"/>
              <w:spacing w:line="160" w:lineRule="exact"/>
              <w:jc w:val="center"/>
              <w:rPr>
                <w:sz w:val="15"/>
                <w:szCs w:val="15"/>
              </w:rPr>
            </w:pPr>
            <w:r>
              <w:rPr>
                <w:rFonts w:hint="eastAsia"/>
                <w:sz w:val="15"/>
                <w:szCs w:val="15"/>
              </w:rPr>
              <w:t>236</w:t>
            </w:r>
          </w:p>
        </w:tc>
        <w:tc>
          <w:tcPr>
            <w:tcW w:w="451" w:type="dxa"/>
            <w:tcBorders>
              <w:tl2br w:val="nil"/>
              <w:tr2bl w:val="nil"/>
            </w:tcBorders>
            <w:shd w:val="clear" w:color="auto" w:fill="auto"/>
            <w:tcMar>
              <w:top w:w="15" w:type="dxa"/>
              <w:left w:w="15" w:type="dxa"/>
              <w:right w:w="15" w:type="dxa"/>
            </w:tcMar>
            <w:vAlign w:val="center"/>
          </w:tcPr>
          <w:p>
            <w:pPr>
              <w:pStyle w:val="27"/>
              <w:spacing w:line="160" w:lineRule="exact"/>
              <w:jc w:val="center"/>
              <w:rPr>
                <w:sz w:val="15"/>
                <w:szCs w:val="15"/>
              </w:rPr>
            </w:pPr>
            <w:r>
              <w:rPr>
                <w:rFonts w:hint="eastAsia"/>
                <w:sz w:val="15"/>
                <w:szCs w:val="15"/>
              </w:rPr>
              <w:t>190</w:t>
            </w:r>
          </w:p>
        </w:tc>
        <w:tc>
          <w:tcPr>
            <w:tcW w:w="451" w:type="dxa"/>
            <w:tcBorders>
              <w:tl2br w:val="nil"/>
              <w:tr2bl w:val="nil"/>
            </w:tcBorders>
            <w:shd w:val="clear" w:color="auto" w:fill="auto"/>
            <w:tcMar>
              <w:top w:w="15" w:type="dxa"/>
              <w:left w:w="15" w:type="dxa"/>
              <w:right w:w="15" w:type="dxa"/>
            </w:tcMar>
            <w:vAlign w:val="center"/>
          </w:tcPr>
          <w:p>
            <w:pPr>
              <w:pStyle w:val="27"/>
              <w:spacing w:line="160" w:lineRule="exact"/>
              <w:jc w:val="center"/>
              <w:rPr>
                <w:sz w:val="15"/>
                <w:szCs w:val="15"/>
              </w:rPr>
            </w:pPr>
            <w:r>
              <w:rPr>
                <w:rFonts w:hint="eastAsia"/>
                <w:sz w:val="15"/>
                <w:szCs w:val="15"/>
              </w:rPr>
              <w:t>146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2917" w:type="dxa"/>
            <w:tcBorders>
              <w:tl2br w:val="nil"/>
              <w:tr2bl w:val="nil"/>
            </w:tcBorders>
            <w:shd w:val="clear" w:color="auto" w:fill="auto"/>
            <w:tcMar>
              <w:top w:w="15" w:type="dxa"/>
              <w:left w:w="15" w:type="dxa"/>
              <w:right w:w="15" w:type="dxa"/>
            </w:tcMar>
            <w:vAlign w:val="center"/>
          </w:tcPr>
          <w:p>
            <w:pPr>
              <w:pStyle w:val="27"/>
              <w:spacing w:line="160" w:lineRule="exact"/>
              <w:jc w:val="center"/>
              <w:rPr>
                <w:rFonts w:ascii="仿宋" w:hAnsi="仿宋" w:eastAsia="仿宋"/>
                <w:sz w:val="15"/>
                <w:szCs w:val="15"/>
              </w:rPr>
            </w:pPr>
            <w:r>
              <w:rPr>
                <w:rFonts w:hint="eastAsia" w:ascii="仿宋" w:hAnsi="仿宋" w:eastAsia="仿宋"/>
                <w:sz w:val="15"/>
                <w:szCs w:val="15"/>
              </w:rPr>
              <w:t>陕西人均民用汽车拥有量</w:t>
            </w:r>
            <w:r>
              <w:rPr>
                <w:rFonts w:ascii="仿宋" w:hAnsi="仿宋" w:eastAsia="仿宋"/>
                <w:sz w:val="15"/>
                <w:szCs w:val="15"/>
              </w:rPr>
              <w:t>(</w:t>
            </w:r>
            <w:r>
              <w:rPr>
                <w:rFonts w:hint="eastAsia" w:ascii="仿宋" w:hAnsi="仿宋" w:eastAsia="仿宋"/>
                <w:sz w:val="15"/>
                <w:szCs w:val="15"/>
              </w:rPr>
              <w:t>辆</w:t>
            </w:r>
            <w:r>
              <w:rPr>
                <w:rFonts w:ascii="仿宋" w:hAnsi="仿宋" w:eastAsia="仿宋"/>
                <w:sz w:val="15"/>
                <w:szCs w:val="15"/>
              </w:rPr>
              <w:t>)</w:t>
            </w:r>
          </w:p>
        </w:tc>
        <w:tc>
          <w:tcPr>
            <w:tcW w:w="452" w:type="dxa"/>
            <w:tcBorders>
              <w:tl2br w:val="nil"/>
              <w:tr2bl w:val="nil"/>
            </w:tcBorders>
            <w:shd w:val="clear" w:color="auto" w:fill="auto"/>
            <w:tcMar>
              <w:top w:w="15" w:type="dxa"/>
              <w:left w:w="15" w:type="dxa"/>
              <w:right w:w="15" w:type="dxa"/>
            </w:tcMar>
            <w:vAlign w:val="center"/>
          </w:tcPr>
          <w:p>
            <w:pPr>
              <w:pStyle w:val="27"/>
              <w:spacing w:line="160" w:lineRule="exact"/>
              <w:jc w:val="center"/>
              <w:rPr>
                <w:sz w:val="15"/>
                <w:szCs w:val="15"/>
              </w:rPr>
            </w:pPr>
            <w:r>
              <w:rPr>
                <w:rFonts w:hint="eastAsia"/>
                <w:sz w:val="15"/>
                <w:szCs w:val="15"/>
              </w:rPr>
              <w:t>0.1759</w:t>
            </w:r>
          </w:p>
        </w:tc>
        <w:tc>
          <w:tcPr>
            <w:tcW w:w="517" w:type="dxa"/>
            <w:tcBorders>
              <w:tl2br w:val="nil"/>
              <w:tr2bl w:val="nil"/>
            </w:tcBorders>
            <w:shd w:val="clear" w:color="auto" w:fill="auto"/>
            <w:tcMar>
              <w:top w:w="15" w:type="dxa"/>
              <w:left w:w="15" w:type="dxa"/>
              <w:right w:w="15" w:type="dxa"/>
            </w:tcMar>
            <w:vAlign w:val="center"/>
          </w:tcPr>
          <w:p>
            <w:pPr>
              <w:pStyle w:val="27"/>
              <w:spacing w:line="160" w:lineRule="exact"/>
              <w:jc w:val="center"/>
              <w:rPr>
                <w:sz w:val="15"/>
                <w:szCs w:val="15"/>
              </w:rPr>
            </w:pPr>
            <w:r>
              <w:rPr>
                <w:rFonts w:hint="eastAsia"/>
                <w:sz w:val="15"/>
                <w:szCs w:val="15"/>
              </w:rPr>
              <w:t>0.1596</w:t>
            </w:r>
          </w:p>
        </w:tc>
        <w:tc>
          <w:tcPr>
            <w:tcW w:w="517" w:type="dxa"/>
            <w:tcBorders>
              <w:tl2br w:val="nil"/>
              <w:tr2bl w:val="nil"/>
            </w:tcBorders>
            <w:shd w:val="clear" w:color="auto" w:fill="auto"/>
            <w:tcMar>
              <w:top w:w="15" w:type="dxa"/>
              <w:left w:w="15" w:type="dxa"/>
              <w:right w:w="15" w:type="dxa"/>
            </w:tcMar>
            <w:vAlign w:val="center"/>
          </w:tcPr>
          <w:p>
            <w:pPr>
              <w:pStyle w:val="27"/>
              <w:spacing w:line="160" w:lineRule="exact"/>
              <w:jc w:val="center"/>
              <w:rPr>
                <w:sz w:val="15"/>
                <w:szCs w:val="15"/>
              </w:rPr>
            </w:pPr>
            <w:r>
              <w:rPr>
                <w:rFonts w:hint="eastAsia"/>
                <w:sz w:val="15"/>
                <w:szCs w:val="15"/>
              </w:rPr>
              <w:t>0.1433</w:t>
            </w:r>
          </w:p>
        </w:tc>
        <w:tc>
          <w:tcPr>
            <w:tcW w:w="516" w:type="dxa"/>
            <w:tcBorders>
              <w:tl2br w:val="nil"/>
              <w:tr2bl w:val="nil"/>
            </w:tcBorders>
            <w:shd w:val="clear" w:color="auto" w:fill="auto"/>
            <w:tcMar>
              <w:top w:w="15" w:type="dxa"/>
              <w:left w:w="15" w:type="dxa"/>
              <w:right w:w="15" w:type="dxa"/>
            </w:tcMar>
            <w:vAlign w:val="center"/>
          </w:tcPr>
          <w:p>
            <w:pPr>
              <w:pStyle w:val="27"/>
              <w:spacing w:line="160" w:lineRule="exact"/>
              <w:jc w:val="center"/>
              <w:rPr>
                <w:sz w:val="15"/>
                <w:szCs w:val="15"/>
              </w:rPr>
            </w:pPr>
            <w:r>
              <w:rPr>
                <w:rFonts w:hint="eastAsia"/>
                <w:sz w:val="15"/>
                <w:szCs w:val="15"/>
              </w:rPr>
              <w:t>0.1288</w:t>
            </w:r>
          </w:p>
        </w:tc>
        <w:tc>
          <w:tcPr>
            <w:tcW w:w="516" w:type="dxa"/>
            <w:tcBorders>
              <w:tl2br w:val="nil"/>
              <w:tr2bl w:val="nil"/>
            </w:tcBorders>
            <w:shd w:val="clear" w:color="auto" w:fill="auto"/>
            <w:tcMar>
              <w:top w:w="15" w:type="dxa"/>
              <w:left w:w="15" w:type="dxa"/>
              <w:right w:w="15" w:type="dxa"/>
            </w:tcMar>
            <w:vAlign w:val="center"/>
          </w:tcPr>
          <w:p>
            <w:pPr>
              <w:pStyle w:val="27"/>
              <w:spacing w:line="160" w:lineRule="exact"/>
              <w:jc w:val="center"/>
              <w:rPr>
                <w:sz w:val="15"/>
                <w:szCs w:val="15"/>
              </w:rPr>
            </w:pPr>
            <w:r>
              <w:rPr>
                <w:rFonts w:hint="eastAsia"/>
                <w:sz w:val="15"/>
                <w:szCs w:val="15"/>
              </w:rPr>
              <w:t>0.1155</w:t>
            </w:r>
          </w:p>
        </w:tc>
        <w:tc>
          <w:tcPr>
            <w:tcW w:w="516" w:type="dxa"/>
            <w:tcBorders>
              <w:tl2br w:val="nil"/>
              <w:tr2bl w:val="nil"/>
            </w:tcBorders>
            <w:shd w:val="clear" w:color="auto" w:fill="auto"/>
            <w:tcMar>
              <w:top w:w="15" w:type="dxa"/>
              <w:left w:w="15" w:type="dxa"/>
              <w:right w:w="15" w:type="dxa"/>
            </w:tcMar>
            <w:vAlign w:val="center"/>
          </w:tcPr>
          <w:p>
            <w:pPr>
              <w:pStyle w:val="27"/>
              <w:spacing w:line="160" w:lineRule="exact"/>
              <w:jc w:val="center"/>
              <w:rPr>
                <w:sz w:val="15"/>
                <w:szCs w:val="15"/>
              </w:rPr>
            </w:pPr>
            <w:r>
              <w:rPr>
                <w:rFonts w:hint="eastAsia"/>
                <w:sz w:val="15"/>
                <w:szCs w:val="15"/>
              </w:rPr>
              <w:t>0.1019</w:t>
            </w:r>
          </w:p>
        </w:tc>
        <w:tc>
          <w:tcPr>
            <w:tcW w:w="516" w:type="dxa"/>
            <w:tcBorders>
              <w:tl2br w:val="nil"/>
              <w:tr2bl w:val="nil"/>
            </w:tcBorders>
            <w:shd w:val="clear" w:color="auto" w:fill="auto"/>
            <w:tcMar>
              <w:top w:w="15" w:type="dxa"/>
              <w:left w:w="15" w:type="dxa"/>
              <w:right w:w="15" w:type="dxa"/>
            </w:tcMar>
            <w:vAlign w:val="center"/>
          </w:tcPr>
          <w:p>
            <w:pPr>
              <w:pStyle w:val="27"/>
              <w:spacing w:line="160" w:lineRule="exact"/>
              <w:jc w:val="center"/>
              <w:rPr>
                <w:sz w:val="15"/>
                <w:szCs w:val="15"/>
              </w:rPr>
            </w:pPr>
            <w:r>
              <w:rPr>
                <w:rFonts w:hint="eastAsia"/>
                <w:sz w:val="15"/>
                <w:szCs w:val="15"/>
              </w:rPr>
              <w:t>0.0893</w:t>
            </w:r>
          </w:p>
        </w:tc>
        <w:tc>
          <w:tcPr>
            <w:tcW w:w="516" w:type="dxa"/>
            <w:tcBorders>
              <w:tl2br w:val="nil"/>
              <w:tr2bl w:val="nil"/>
            </w:tcBorders>
            <w:shd w:val="clear" w:color="auto" w:fill="auto"/>
            <w:tcMar>
              <w:top w:w="15" w:type="dxa"/>
              <w:left w:w="15" w:type="dxa"/>
              <w:right w:w="15" w:type="dxa"/>
            </w:tcMar>
            <w:vAlign w:val="center"/>
          </w:tcPr>
          <w:p>
            <w:pPr>
              <w:pStyle w:val="27"/>
              <w:spacing w:line="160" w:lineRule="exact"/>
              <w:jc w:val="center"/>
              <w:rPr>
                <w:sz w:val="15"/>
                <w:szCs w:val="15"/>
              </w:rPr>
            </w:pPr>
            <w:r>
              <w:rPr>
                <w:rFonts w:hint="eastAsia"/>
                <w:sz w:val="15"/>
                <w:szCs w:val="15"/>
              </w:rPr>
              <w:t>0.0758</w:t>
            </w:r>
          </w:p>
        </w:tc>
        <w:tc>
          <w:tcPr>
            <w:tcW w:w="451" w:type="dxa"/>
            <w:tcBorders>
              <w:tl2br w:val="nil"/>
              <w:tr2bl w:val="nil"/>
            </w:tcBorders>
            <w:shd w:val="clear" w:color="auto" w:fill="auto"/>
            <w:tcMar>
              <w:top w:w="15" w:type="dxa"/>
              <w:left w:w="15" w:type="dxa"/>
              <w:right w:w="15" w:type="dxa"/>
            </w:tcMar>
            <w:vAlign w:val="center"/>
          </w:tcPr>
          <w:p>
            <w:pPr>
              <w:pStyle w:val="27"/>
              <w:spacing w:line="160" w:lineRule="exact"/>
              <w:jc w:val="center"/>
              <w:rPr>
                <w:sz w:val="15"/>
                <w:szCs w:val="15"/>
              </w:rPr>
            </w:pPr>
            <w:r>
              <w:rPr>
                <w:rFonts w:hint="eastAsia"/>
                <w:sz w:val="15"/>
                <w:szCs w:val="15"/>
              </w:rPr>
              <w:t>0.0632</w:t>
            </w:r>
          </w:p>
        </w:tc>
        <w:tc>
          <w:tcPr>
            <w:tcW w:w="451" w:type="dxa"/>
            <w:tcBorders>
              <w:tl2br w:val="nil"/>
              <w:tr2bl w:val="nil"/>
            </w:tcBorders>
            <w:shd w:val="clear" w:color="auto" w:fill="auto"/>
            <w:tcMar>
              <w:top w:w="15" w:type="dxa"/>
              <w:left w:w="15" w:type="dxa"/>
              <w:right w:w="15" w:type="dxa"/>
            </w:tcMar>
            <w:vAlign w:val="center"/>
          </w:tcPr>
          <w:p>
            <w:pPr>
              <w:pStyle w:val="27"/>
              <w:spacing w:line="160" w:lineRule="exact"/>
              <w:jc w:val="center"/>
              <w:rPr>
                <w:sz w:val="15"/>
                <w:szCs w:val="15"/>
              </w:rPr>
            </w:pPr>
            <w:r>
              <w:rPr>
                <w:rFonts w:hint="eastAsia"/>
                <w:sz w:val="15"/>
                <w:szCs w:val="15"/>
              </w:rPr>
              <w:t>0.0510</w:t>
            </w:r>
          </w:p>
        </w:tc>
        <w:tc>
          <w:tcPr>
            <w:tcW w:w="451" w:type="dxa"/>
            <w:tcBorders>
              <w:tl2br w:val="nil"/>
              <w:tr2bl w:val="nil"/>
            </w:tcBorders>
            <w:shd w:val="clear" w:color="auto" w:fill="auto"/>
            <w:tcMar>
              <w:top w:w="15" w:type="dxa"/>
              <w:left w:w="15" w:type="dxa"/>
              <w:right w:w="15" w:type="dxa"/>
            </w:tcMar>
            <w:vAlign w:val="center"/>
          </w:tcPr>
          <w:p>
            <w:pPr>
              <w:pStyle w:val="27"/>
              <w:spacing w:line="160" w:lineRule="exact"/>
              <w:jc w:val="center"/>
              <w:rPr>
                <w:sz w:val="15"/>
                <w:szCs w:val="15"/>
              </w:rPr>
            </w:pPr>
            <w:r>
              <w:rPr>
                <w:rFonts w:hint="eastAsia"/>
                <w:sz w:val="15"/>
                <w:szCs w:val="15"/>
              </w:rPr>
              <w:t>0.0392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2917" w:type="dxa"/>
            <w:tcBorders>
              <w:tl2br w:val="nil"/>
              <w:tr2bl w:val="nil"/>
            </w:tcBorders>
            <w:shd w:val="clear" w:color="auto" w:fill="auto"/>
            <w:tcMar>
              <w:top w:w="15" w:type="dxa"/>
              <w:left w:w="15" w:type="dxa"/>
              <w:right w:w="15" w:type="dxa"/>
            </w:tcMar>
            <w:vAlign w:val="center"/>
          </w:tcPr>
          <w:p>
            <w:pPr>
              <w:pStyle w:val="27"/>
              <w:spacing w:line="160" w:lineRule="exact"/>
              <w:jc w:val="center"/>
              <w:rPr>
                <w:rFonts w:ascii="仿宋" w:hAnsi="仿宋" w:eastAsia="仿宋"/>
                <w:sz w:val="15"/>
                <w:szCs w:val="15"/>
              </w:rPr>
            </w:pPr>
            <w:r>
              <w:rPr>
                <w:rFonts w:hint="eastAsia" w:ascii="仿宋" w:hAnsi="仿宋" w:eastAsia="仿宋"/>
                <w:sz w:val="15"/>
                <w:szCs w:val="15"/>
              </w:rPr>
              <w:t>全国民用汽车拥有量</w:t>
            </w:r>
            <w:r>
              <w:rPr>
                <w:rFonts w:ascii="仿宋" w:hAnsi="仿宋" w:eastAsia="仿宋"/>
                <w:sz w:val="15"/>
                <w:szCs w:val="15"/>
              </w:rPr>
              <w:t>(</w:t>
            </w:r>
            <w:r>
              <w:rPr>
                <w:rFonts w:hint="eastAsia" w:ascii="仿宋" w:hAnsi="仿宋" w:eastAsia="仿宋"/>
                <w:sz w:val="15"/>
                <w:szCs w:val="15"/>
              </w:rPr>
              <w:t>万辆</w:t>
            </w:r>
            <w:r>
              <w:rPr>
                <w:rFonts w:ascii="仿宋" w:hAnsi="仿宋" w:eastAsia="仿宋"/>
                <w:sz w:val="15"/>
                <w:szCs w:val="15"/>
              </w:rPr>
              <w:t>)</w:t>
            </w:r>
          </w:p>
        </w:tc>
        <w:tc>
          <w:tcPr>
            <w:tcW w:w="452" w:type="dxa"/>
            <w:tcBorders>
              <w:tl2br w:val="nil"/>
              <w:tr2bl w:val="nil"/>
            </w:tcBorders>
            <w:shd w:val="clear" w:color="auto" w:fill="auto"/>
            <w:tcMar>
              <w:top w:w="15" w:type="dxa"/>
              <w:left w:w="15" w:type="dxa"/>
              <w:right w:w="15" w:type="dxa"/>
            </w:tcMar>
            <w:vAlign w:val="center"/>
          </w:tcPr>
          <w:p>
            <w:pPr>
              <w:pStyle w:val="27"/>
              <w:spacing w:line="160" w:lineRule="exact"/>
              <w:jc w:val="center"/>
              <w:rPr>
                <w:sz w:val="15"/>
                <w:szCs w:val="15"/>
              </w:rPr>
            </w:pPr>
            <w:r>
              <w:rPr>
                <w:rFonts w:hint="eastAsia"/>
                <w:sz w:val="15"/>
                <w:szCs w:val="15"/>
              </w:rPr>
              <w:t>25387</w:t>
            </w:r>
          </w:p>
        </w:tc>
        <w:tc>
          <w:tcPr>
            <w:tcW w:w="517" w:type="dxa"/>
            <w:tcBorders>
              <w:tl2br w:val="nil"/>
              <w:tr2bl w:val="nil"/>
            </w:tcBorders>
            <w:shd w:val="clear" w:color="auto" w:fill="auto"/>
            <w:tcMar>
              <w:top w:w="15" w:type="dxa"/>
              <w:left w:w="15" w:type="dxa"/>
              <w:right w:w="15" w:type="dxa"/>
            </w:tcMar>
            <w:vAlign w:val="center"/>
          </w:tcPr>
          <w:p>
            <w:pPr>
              <w:pStyle w:val="27"/>
              <w:spacing w:line="160" w:lineRule="exact"/>
              <w:jc w:val="center"/>
              <w:rPr>
                <w:sz w:val="15"/>
                <w:szCs w:val="15"/>
              </w:rPr>
            </w:pPr>
            <w:r>
              <w:rPr>
                <w:rFonts w:hint="eastAsia"/>
                <w:sz w:val="15"/>
                <w:szCs w:val="15"/>
              </w:rPr>
              <w:t>23231</w:t>
            </w:r>
          </w:p>
        </w:tc>
        <w:tc>
          <w:tcPr>
            <w:tcW w:w="517" w:type="dxa"/>
            <w:tcBorders>
              <w:tl2br w:val="nil"/>
              <w:tr2bl w:val="nil"/>
            </w:tcBorders>
            <w:shd w:val="clear" w:color="auto" w:fill="auto"/>
            <w:tcMar>
              <w:top w:w="15" w:type="dxa"/>
              <w:left w:w="15" w:type="dxa"/>
              <w:right w:w="15" w:type="dxa"/>
            </w:tcMar>
            <w:vAlign w:val="center"/>
          </w:tcPr>
          <w:p>
            <w:pPr>
              <w:pStyle w:val="27"/>
              <w:spacing w:line="160" w:lineRule="exact"/>
              <w:jc w:val="center"/>
              <w:rPr>
                <w:sz w:val="15"/>
                <w:szCs w:val="15"/>
              </w:rPr>
            </w:pPr>
            <w:r>
              <w:rPr>
                <w:rFonts w:hint="eastAsia"/>
                <w:sz w:val="15"/>
                <w:szCs w:val="15"/>
              </w:rPr>
              <w:t>20906</w:t>
            </w:r>
          </w:p>
        </w:tc>
        <w:tc>
          <w:tcPr>
            <w:tcW w:w="516" w:type="dxa"/>
            <w:tcBorders>
              <w:tl2br w:val="nil"/>
              <w:tr2bl w:val="nil"/>
            </w:tcBorders>
            <w:shd w:val="clear" w:color="auto" w:fill="auto"/>
            <w:tcMar>
              <w:top w:w="15" w:type="dxa"/>
              <w:left w:w="15" w:type="dxa"/>
              <w:right w:w="15" w:type="dxa"/>
            </w:tcMar>
            <w:vAlign w:val="center"/>
          </w:tcPr>
          <w:p>
            <w:pPr>
              <w:pStyle w:val="27"/>
              <w:spacing w:line="160" w:lineRule="exact"/>
              <w:jc w:val="center"/>
              <w:rPr>
                <w:sz w:val="15"/>
                <w:szCs w:val="15"/>
              </w:rPr>
            </w:pPr>
            <w:r>
              <w:rPr>
                <w:rFonts w:hint="eastAsia"/>
                <w:sz w:val="15"/>
                <w:szCs w:val="15"/>
              </w:rPr>
              <w:t>18574</w:t>
            </w:r>
          </w:p>
        </w:tc>
        <w:tc>
          <w:tcPr>
            <w:tcW w:w="516" w:type="dxa"/>
            <w:tcBorders>
              <w:tl2br w:val="nil"/>
              <w:tr2bl w:val="nil"/>
            </w:tcBorders>
            <w:shd w:val="clear" w:color="auto" w:fill="auto"/>
            <w:tcMar>
              <w:top w:w="15" w:type="dxa"/>
              <w:left w:w="15" w:type="dxa"/>
              <w:right w:w="15" w:type="dxa"/>
            </w:tcMar>
            <w:vAlign w:val="center"/>
          </w:tcPr>
          <w:p>
            <w:pPr>
              <w:pStyle w:val="27"/>
              <w:spacing w:line="160" w:lineRule="exact"/>
              <w:jc w:val="center"/>
              <w:rPr>
                <w:sz w:val="15"/>
                <w:szCs w:val="15"/>
              </w:rPr>
            </w:pPr>
            <w:r>
              <w:rPr>
                <w:rFonts w:hint="eastAsia"/>
                <w:sz w:val="15"/>
                <w:szCs w:val="15"/>
              </w:rPr>
              <w:t>16284</w:t>
            </w:r>
          </w:p>
        </w:tc>
        <w:tc>
          <w:tcPr>
            <w:tcW w:w="516" w:type="dxa"/>
            <w:tcBorders>
              <w:tl2br w:val="nil"/>
              <w:tr2bl w:val="nil"/>
            </w:tcBorders>
            <w:shd w:val="clear" w:color="auto" w:fill="auto"/>
            <w:tcMar>
              <w:top w:w="15" w:type="dxa"/>
              <w:left w:w="15" w:type="dxa"/>
              <w:right w:w="15" w:type="dxa"/>
            </w:tcMar>
            <w:vAlign w:val="center"/>
          </w:tcPr>
          <w:p>
            <w:pPr>
              <w:pStyle w:val="27"/>
              <w:spacing w:line="160" w:lineRule="exact"/>
              <w:jc w:val="center"/>
              <w:rPr>
                <w:sz w:val="15"/>
                <w:szCs w:val="15"/>
              </w:rPr>
            </w:pPr>
            <w:r>
              <w:rPr>
                <w:rFonts w:hint="eastAsia"/>
                <w:sz w:val="15"/>
                <w:szCs w:val="15"/>
              </w:rPr>
              <w:t>14598</w:t>
            </w:r>
          </w:p>
        </w:tc>
        <w:tc>
          <w:tcPr>
            <w:tcW w:w="516" w:type="dxa"/>
            <w:tcBorders>
              <w:tl2br w:val="nil"/>
              <w:tr2bl w:val="nil"/>
            </w:tcBorders>
            <w:shd w:val="clear" w:color="auto" w:fill="auto"/>
            <w:tcMar>
              <w:top w:w="15" w:type="dxa"/>
              <w:left w:w="15" w:type="dxa"/>
              <w:right w:w="15" w:type="dxa"/>
            </w:tcMar>
            <w:vAlign w:val="center"/>
          </w:tcPr>
          <w:p>
            <w:pPr>
              <w:pStyle w:val="27"/>
              <w:spacing w:line="160" w:lineRule="exact"/>
              <w:jc w:val="center"/>
              <w:rPr>
                <w:sz w:val="15"/>
                <w:szCs w:val="15"/>
              </w:rPr>
            </w:pPr>
            <w:r>
              <w:rPr>
                <w:rFonts w:hint="eastAsia"/>
                <w:sz w:val="15"/>
                <w:szCs w:val="15"/>
              </w:rPr>
              <w:t>12670</w:t>
            </w:r>
          </w:p>
        </w:tc>
        <w:tc>
          <w:tcPr>
            <w:tcW w:w="516" w:type="dxa"/>
            <w:tcBorders>
              <w:tl2br w:val="nil"/>
              <w:tr2bl w:val="nil"/>
            </w:tcBorders>
            <w:shd w:val="clear" w:color="auto" w:fill="auto"/>
            <w:tcMar>
              <w:top w:w="15" w:type="dxa"/>
              <w:left w:w="15" w:type="dxa"/>
              <w:right w:w="15" w:type="dxa"/>
            </w:tcMar>
            <w:vAlign w:val="center"/>
          </w:tcPr>
          <w:p>
            <w:pPr>
              <w:pStyle w:val="27"/>
              <w:spacing w:line="160" w:lineRule="exact"/>
              <w:jc w:val="center"/>
              <w:rPr>
                <w:sz w:val="15"/>
                <w:szCs w:val="15"/>
              </w:rPr>
            </w:pPr>
            <w:r>
              <w:rPr>
                <w:rFonts w:hint="eastAsia"/>
                <w:sz w:val="15"/>
                <w:szCs w:val="15"/>
              </w:rPr>
              <w:t>10933</w:t>
            </w:r>
          </w:p>
        </w:tc>
        <w:tc>
          <w:tcPr>
            <w:tcW w:w="451" w:type="dxa"/>
            <w:tcBorders>
              <w:tl2br w:val="nil"/>
              <w:tr2bl w:val="nil"/>
            </w:tcBorders>
            <w:shd w:val="clear" w:color="auto" w:fill="auto"/>
            <w:tcMar>
              <w:top w:w="15" w:type="dxa"/>
              <w:left w:w="15" w:type="dxa"/>
              <w:right w:w="15" w:type="dxa"/>
            </w:tcMar>
            <w:vAlign w:val="center"/>
          </w:tcPr>
          <w:p>
            <w:pPr>
              <w:pStyle w:val="27"/>
              <w:spacing w:line="160" w:lineRule="exact"/>
              <w:jc w:val="center"/>
              <w:rPr>
                <w:sz w:val="15"/>
                <w:szCs w:val="15"/>
              </w:rPr>
            </w:pPr>
            <w:r>
              <w:rPr>
                <w:rFonts w:hint="eastAsia"/>
                <w:sz w:val="15"/>
                <w:szCs w:val="15"/>
              </w:rPr>
              <w:t>9356</w:t>
            </w:r>
          </w:p>
        </w:tc>
        <w:tc>
          <w:tcPr>
            <w:tcW w:w="451" w:type="dxa"/>
            <w:tcBorders>
              <w:tl2br w:val="nil"/>
              <w:tr2bl w:val="nil"/>
            </w:tcBorders>
            <w:shd w:val="clear" w:color="auto" w:fill="auto"/>
            <w:tcMar>
              <w:top w:w="15" w:type="dxa"/>
              <w:left w:w="15" w:type="dxa"/>
              <w:right w:w="15" w:type="dxa"/>
            </w:tcMar>
            <w:vAlign w:val="center"/>
          </w:tcPr>
          <w:p>
            <w:pPr>
              <w:pStyle w:val="27"/>
              <w:spacing w:line="160" w:lineRule="exact"/>
              <w:jc w:val="center"/>
              <w:rPr>
                <w:sz w:val="15"/>
                <w:szCs w:val="15"/>
              </w:rPr>
            </w:pPr>
            <w:r>
              <w:rPr>
                <w:rFonts w:hint="eastAsia"/>
                <w:sz w:val="15"/>
                <w:szCs w:val="15"/>
              </w:rPr>
              <w:t>7801</w:t>
            </w:r>
          </w:p>
        </w:tc>
        <w:tc>
          <w:tcPr>
            <w:tcW w:w="451" w:type="dxa"/>
            <w:tcBorders>
              <w:tl2br w:val="nil"/>
              <w:tr2bl w:val="nil"/>
            </w:tcBorders>
            <w:shd w:val="clear" w:color="auto" w:fill="auto"/>
            <w:tcMar>
              <w:top w:w="15" w:type="dxa"/>
              <w:left w:w="15" w:type="dxa"/>
              <w:right w:w="15" w:type="dxa"/>
            </w:tcMar>
            <w:vAlign w:val="center"/>
          </w:tcPr>
          <w:p>
            <w:pPr>
              <w:pStyle w:val="27"/>
              <w:spacing w:line="160" w:lineRule="exact"/>
              <w:jc w:val="center"/>
              <w:rPr>
                <w:sz w:val="15"/>
                <w:szCs w:val="15"/>
              </w:rPr>
            </w:pPr>
            <w:r>
              <w:rPr>
                <w:rFonts w:hint="eastAsia"/>
                <w:sz w:val="15"/>
                <w:szCs w:val="15"/>
              </w:rPr>
              <w:t>6280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2917" w:type="dxa"/>
            <w:tcBorders>
              <w:tl2br w:val="nil"/>
              <w:tr2bl w:val="nil"/>
            </w:tcBorders>
            <w:shd w:val="clear" w:color="auto" w:fill="auto"/>
            <w:tcMar>
              <w:top w:w="15" w:type="dxa"/>
              <w:left w:w="15" w:type="dxa"/>
              <w:right w:w="15" w:type="dxa"/>
            </w:tcMar>
            <w:vAlign w:val="center"/>
          </w:tcPr>
          <w:p>
            <w:pPr>
              <w:pStyle w:val="27"/>
              <w:spacing w:line="160" w:lineRule="exact"/>
              <w:jc w:val="center"/>
              <w:rPr>
                <w:rFonts w:ascii="仿宋" w:hAnsi="仿宋" w:eastAsia="仿宋"/>
                <w:sz w:val="15"/>
                <w:szCs w:val="15"/>
              </w:rPr>
            </w:pPr>
            <w:r>
              <w:rPr>
                <w:rFonts w:hint="eastAsia" w:ascii="仿宋" w:hAnsi="仿宋" w:eastAsia="仿宋"/>
                <w:sz w:val="15"/>
                <w:szCs w:val="15"/>
              </w:rPr>
              <w:t>全国人均民用汽车拥有量</w:t>
            </w:r>
            <w:r>
              <w:rPr>
                <w:rFonts w:ascii="仿宋" w:hAnsi="仿宋" w:eastAsia="仿宋"/>
                <w:sz w:val="15"/>
                <w:szCs w:val="15"/>
              </w:rPr>
              <w:t>(</w:t>
            </w:r>
            <w:r>
              <w:rPr>
                <w:rFonts w:hint="eastAsia" w:ascii="仿宋" w:hAnsi="仿宋" w:eastAsia="仿宋"/>
                <w:sz w:val="15"/>
                <w:szCs w:val="15"/>
              </w:rPr>
              <w:t>辆</w:t>
            </w:r>
            <w:r>
              <w:rPr>
                <w:rFonts w:ascii="仿宋" w:hAnsi="仿宋" w:eastAsia="仿宋"/>
                <w:sz w:val="15"/>
                <w:szCs w:val="15"/>
              </w:rPr>
              <w:t>)</w:t>
            </w:r>
          </w:p>
        </w:tc>
        <w:tc>
          <w:tcPr>
            <w:tcW w:w="452" w:type="dxa"/>
            <w:tcBorders>
              <w:tl2br w:val="nil"/>
              <w:tr2bl w:val="nil"/>
            </w:tcBorders>
            <w:shd w:val="clear" w:color="auto" w:fill="auto"/>
            <w:tcMar>
              <w:top w:w="15" w:type="dxa"/>
              <w:left w:w="15" w:type="dxa"/>
              <w:right w:w="15" w:type="dxa"/>
            </w:tcMar>
            <w:vAlign w:val="center"/>
          </w:tcPr>
          <w:p>
            <w:pPr>
              <w:pStyle w:val="27"/>
              <w:spacing w:line="160" w:lineRule="exact"/>
              <w:jc w:val="center"/>
              <w:rPr>
                <w:sz w:val="15"/>
                <w:szCs w:val="15"/>
              </w:rPr>
            </w:pPr>
            <w:r>
              <w:rPr>
                <w:rFonts w:hint="eastAsia"/>
                <w:sz w:val="15"/>
                <w:szCs w:val="15"/>
              </w:rPr>
              <w:t>0.1813</w:t>
            </w:r>
          </w:p>
        </w:tc>
        <w:tc>
          <w:tcPr>
            <w:tcW w:w="517" w:type="dxa"/>
            <w:tcBorders>
              <w:tl2br w:val="nil"/>
              <w:tr2bl w:val="nil"/>
            </w:tcBorders>
            <w:shd w:val="clear" w:color="auto" w:fill="auto"/>
            <w:tcMar>
              <w:top w:w="15" w:type="dxa"/>
              <w:left w:w="15" w:type="dxa"/>
              <w:right w:w="15" w:type="dxa"/>
            </w:tcMar>
            <w:vAlign w:val="center"/>
          </w:tcPr>
          <w:p>
            <w:pPr>
              <w:pStyle w:val="27"/>
              <w:spacing w:line="160" w:lineRule="exact"/>
              <w:jc w:val="center"/>
              <w:rPr>
                <w:sz w:val="15"/>
                <w:szCs w:val="15"/>
              </w:rPr>
            </w:pPr>
            <w:r>
              <w:rPr>
                <w:rFonts w:hint="eastAsia"/>
                <w:sz w:val="15"/>
                <w:szCs w:val="15"/>
              </w:rPr>
              <w:t>0.1665</w:t>
            </w:r>
          </w:p>
        </w:tc>
        <w:tc>
          <w:tcPr>
            <w:tcW w:w="517" w:type="dxa"/>
            <w:tcBorders>
              <w:tl2br w:val="nil"/>
              <w:tr2bl w:val="nil"/>
            </w:tcBorders>
            <w:shd w:val="clear" w:color="auto" w:fill="auto"/>
            <w:tcMar>
              <w:top w:w="15" w:type="dxa"/>
              <w:left w:w="15" w:type="dxa"/>
              <w:right w:w="15" w:type="dxa"/>
            </w:tcMar>
            <w:vAlign w:val="center"/>
          </w:tcPr>
          <w:p>
            <w:pPr>
              <w:pStyle w:val="27"/>
              <w:spacing w:line="160" w:lineRule="exact"/>
              <w:jc w:val="center"/>
              <w:rPr>
                <w:sz w:val="15"/>
                <w:szCs w:val="15"/>
              </w:rPr>
            </w:pPr>
            <w:r>
              <w:rPr>
                <w:rFonts w:hint="eastAsia"/>
                <w:sz w:val="15"/>
                <w:szCs w:val="15"/>
              </w:rPr>
              <w:t>0.1504</w:t>
            </w:r>
          </w:p>
        </w:tc>
        <w:tc>
          <w:tcPr>
            <w:tcW w:w="516" w:type="dxa"/>
            <w:tcBorders>
              <w:tl2br w:val="nil"/>
              <w:tr2bl w:val="nil"/>
            </w:tcBorders>
            <w:shd w:val="clear" w:color="auto" w:fill="auto"/>
            <w:tcMar>
              <w:top w:w="15" w:type="dxa"/>
              <w:left w:w="15" w:type="dxa"/>
              <w:right w:w="15" w:type="dxa"/>
            </w:tcMar>
            <w:vAlign w:val="center"/>
          </w:tcPr>
          <w:p>
            <w:pPr>
              <w:pStyle w:val="27"/>
              <w:spacing w:line="160" w:lineRule="exact"/>
              <w:jc w:val="center"/>
              <w:rPr>
                <w:sz w:val="15"/>
                <w:szCs w:val="15"/>
              </w:rPr>
            </w:pPr>
            <w:r>
              <w:rPr>
                <w:rFonts w:hint="eastAsia"/>
                <w:sz w:val="15"/>
                <w:szCs w:val="15"/>
              </w:rPr>
              <w:t>0.1343</w:t>
            </w:r>
          </w:p>
        </w:tc>
        <w:tc>
          <w:tcPr>
            <w:tcW w:w="516" w:type="dxa"/>
            <w:tcBorders>
              <w:tl2br w:val="nil"/>
              <w:tr2bl w:val="nil"/>
            </w:tcBorders>
            <w:shd w:val="clear" w:color="auto" w:fill="auto"/>
            <w:tcMar>
              <w:top w:w="15" w:type="dxa"/>
              <w:left w:w="15" w:type="dxa"/>
              <w:right w:w="15" w:type="dxa"/>
            </w:tcMar>
            <w:vAlign w:val="center"/>
          </w:tcPr>
          <w:p>
            <w:pPr>
              <w:pStyle w:val="27"/>
              <w:spacing w:line="160" w:lineRule="exact"/>
              <w:jc w:val="center"/>
              <w:rPr>
                <w:sz w:val="15"/>
                <w:szCs w:val="15"/>
              </w:rPr>
            </w:pPr>
            <w:r>
              <w:rPr>
                <w:rFonts w:hint="eastAsia"/>
                <w:sz w:val="15"/>
                <w:szCs w:val="15"/>
              </w:rPr>
              <w:t>0.1185</w:t>
            </w:r>
          </w:p>
        </w:tc>
        <w:tc>
          <w:tcPr>
            <w:tcW w:w="516" w:type="dxa"/>
            <w:tcBorders>
              <w:tl2br w:val="nil"/>
              <w:tr2bl w:val="nil"/>
            </w:tcBorders>
            <w:shd w:val="clear" w:color="auto" w:fill="auto"/>
            <w:tcMar>
              <w:top w:w="15" w:type="dxa"/>
              <w:left w:w="15" w:type="dxa"/>
              <w:right w:w="15" w:type="dxa"/>
            </w:tcMar>
            <w:vAlign w:val="center"/>
          </w:tcPr>
          <w:p>
            <w:pPr>
              <w:pStyle w:val="27"/>
              <w:spacing w:line="160" w:lineRule="exact"/>
              <w:jc w:val="center"/>
              <w:rPr>
                <w:sz w:val="15"/>
                <w:szCs w:val="15"/>
              </w:rPr>
            </w:pPr>
            <w:r>
              <w:rPr>
                <w:rFonts w:hint="eastAsia"/>
                <w:sz w:val="15"/>
                <w:szCs w:val="15"/>
              </w:rPr>
              <w:t>0.1067</w:t>
            </w:r>
          </w:p>
        </w:tc>
        <w:tc>
          <w:tcPr>
            <w:tcW w:w="516" w:type="dxa"/>
            <w:tcBorders>
              <w:tl2br w:val="nil"/>
              <w:tr2bl w:val="nil"/>
            </w:tcBorders>
            <w:shd w:val="clear" w:color="auto" w:fill="auto"/>
            <w:tcMar>
              <w:top w:w="15" w:type="dxa"/>
              <w:left w:w="15" w:type="dxa"/>
              <w:right w:w="15" w:type="dxa"/>
            </w:tcMar>
            <w:vAlign w:val="center"/>
          </w:tcPr>
          <w:p>
            <w:pPr>
              <w:pStyle w:val="27"/>
              <w:spacing w:line="160" w:lineRule="exact"/>
              <w:jc w:val="center"/>
              <w:rPr>
                <w:sz w:val="15"/>
                <w:szCs w:val="15"/>
              </w:rPr>
            </w:pPr>
            <w:r>
              <w:rPr>
                <w:rFonts w:hint="eastAsia"/>
                <w:sz w:val="15"/>
                <w:szCs w:val="15"/>
              </w:rPr>
              <w:t>0.0931</w:t>
            </w:r>
          </w:p>
        </w:tc>
        <w:tc>
          <w:tcPr>
            <w:tcW w:w="516" w:type="dxa"/>
            <w:tcBorders>
              <w:tl2br w:val="nil"/>
              <w:tr2bl w:val="nil"/>
            </w:tcBorders>
            <w:shd w:val="clear" w:color="auto" w:fill="auto"/>
            <w:tcMar>
              <w:top w:w="15" w:type="dxa"/>
              <w:left w:w="15" w:type="dxa"/>
              <w:right w:w="15" w:type="dxa"/>
            </w:tcMar>
            <w:vAlign w:val="center"/>
          </w:tcPr>
          <w:p>
            <w:pPr>
              <w:pStyle w:val="27"/>
              <w:spacing w:line="160" w:lineRule="exact"/>
              <w:jc w:val="center"/>
              <w:rPr>
                <w:sz w:val="15"/>
                <w:szCs w:val="15"/>
              </w:rPr>
            </w:pPr>
            <w:r>
              <w:rPr>
                <w:rFonts w:hint="eastAsia"/>
                <w:sz w:val="15"/>
                <w:szCs w:val="15"/>
              </w:rPr>
              <w:t>0.0807</w:t>
            </w:r>
          </w:p>
        </w:tc>
        <w:tc>
          <w:tcPr>
            <w:tcW w:w="451" w:type="dxa"/>
            <w:tcBorders>
              <w:tl2br w:val="nil"/>
              <w:tr2bl w:val="nil"/>
            </w:tcBorders>
            <w:shd w:val="clear" w:color="auto" w:fill="auto"/>
            <w:tcMar>
              <w:top w:w="15" w:type="dxa"/>
              <w:left w:w="15" w:type="dxa"/>
              <w:right w:w="15" w:type="dxa"/>
            </w:tcMar>
            <w:vAlign w:val="center"/>
          </w:tcPr>
          <w:p>
            <w:pPr>
              <w:pStyle w:val="27"/>
              <w:spacing w:line="160" w:lineRule="exact"/>
              <w:jc w:val="center"/>
              <w:rPr>
                <w:sz w:val="15"/>
                <w:szCs w:val="15"/>
              </w:rPr>
            </w:pPr>
            <w:r>
              <w:rPr>
                <w:rFonts w:hint="eastAsia"/>
                <w:sz w:val="15"/>
                <w:szCs w:val="15"/>
              </w:rPr>
              <w:t>0.0694</w:t>
            </w:r>
          </w:p>
        </w:tc>
        <w:tc>
          <w:tcPr>
            <w:tcW w:w="451" w:type="dxa"/>
            <w:tcBorders>
              <w:tl2br w:val="nil"/>
              <w:tr2bl w:val="nil"/>
            </w:tcBorders>
            <w:shd w:val="clear" w:color="auto" w:fill="auto"/>
            <w:tcMar>
              <w:top w:w="15" w:type="dxa"/>
              <w:left w:w="15" w:type="dxa"/>
              <w:right w:w="15" w:type="dxa"/>
            </w:tcMar>
            <w:vAlign w:val="center"/>
          </w:tcPr>
          <w:p>
            <w:pPr>
              <w:pStyle w:val="27"/>
              <w:spacing w:line="160" w:lineRule="exact"/>
              <w:jc w:val="center"/>
              <w:rPr>
                <w:sz w:val="15"/>
                <w:szCs w:val="15"/>
              </w:rPr>
            </w:pPr>
            <w:r>
              <w:rPr>
                <w:rFonts w:hint="eastAsia"/>
                <w:sz w:val="15"/>
                <w:szCs w:val="15"/>
              </w:rPr>
              <w:t>0.0582</w:t>
            </w:r>
          </w:p>
        </w:tc>
        <w:tc>
          <w:tcPr>
            <w:tcW w:w="451" w:type="dxa"/>
            <w:tcBorders>
              <w:tl2br w:val="nil"/>
              <w:tr2bl w:val="nil"/>
            </w:tcBorders>
            <w:shd w:val="clear" w:color="auto" w:fill="auto"/>
            <w:tcMar>
              <w:top w:w="15" w:type="dxa"/>
              <w:left w:w="15" w:type="dxa"/>
              <w:right w:w="15" w:type="dxa"/>
            </w:tcMar>
            <w:vAlign w:val="center"/>
          </w:tcPr>
          <w:p>
            <w:pPr>
              <w:pStyle w:val="27"/>
              <w:spacing w:line="160" w:lineRule="exact"/>
              <w:jc w:val="center"/>
              <w:rPr>
                <w:sz w:val="15"/>
                <w:szCs w:val="15"/>
              </w:rPr>
            </w:pPr>
            <w:r>
              <w:rPr>
                <w:rFonts w:hint="eastAsia"/>
                <w:sz w:val="15"/>
                <w:szCs w:val="15"/>
              </w:rPr>
              <w:t>0.0471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2917" w:type="dxa"/>
            <w:tcBorders>
              <w:tl2br w:val="nil"/>
              <w:tr2bl w:val="nil"/>
            </w:tcBorders>
            <w:shd w:val="clear" w:color="auto" w:fill="auto"/>
            <w:tcMar>
              <w:top w:w="15" w:type="dxa"/>
              <w:left w:w="15" w:type="dxa"/>
              <w:right w:w="15" w:type="dxa"/>
            </w:tcMar>
            <w:vAlign w:val="center"/>
          </w:tcPr>
          <w:p>
            <w:pPr>
              <w:pStyle w:val="27"/>
              <w:spacing w:line="160" w:lineRule="exact"/>
              <w:jc w:val="center"/>
              <w:rPr>
                <w:rFonts w:ascii="仿宋" w:hAnsi="仿宋" w:eastAsia="仿宋"/>
                <w:sz w:val="15"/>
                <w:szCs w:val="15"/>
              </w:rPr>
            </w:pPr>
            <w:r>
              <w:rPr>
                <w:rFonts w:hint="eastAsia" w:ascii="仿宋" w:hAnsi="仿宋" w:eastAsia="仿宋"/>
                <w:sz w:val="15"/>
                <w:szCs w:val="15"/>
              </w:rPr>
              <w:t>陕西人均民用汽车拥有量</w:t>
            </w:r>
            <w:r>
              <w:rPr>
                <w:rFonts w:ascii="仿宋" w:hAnsi="仿宋" w:eastAsia="仿宋"/>
                <w:sz w:val="15"/>
                <w:szCs w:val="15"/>
              </w:rPr>
              <w:t>/</w:t>
            </w:r>
            <w:r>
              <w:rPr>
                <w:rFonts w:hint="eastAsia" w:ascii="仿宋" w:hAnsi="仿宋" w:eastAsia="仿宋"/>
                <w:sz w:val="15"/>
                <w:szCs w:val="15"/>
              </w:rPr>
              <w:t>全国人均民用汽车拥有量</w:t>
            </w:r>
          </w:p>
        </w:tc>
        <w:tc>
          <w:tcPr>
            <w:tcW w:w="452" w:type="dxa"/>
            <w:tcBorders>
              <w:tl2br w:val="nil"/>
              <w:tr2bl w:val="nil"/>
            </w:tcBorders>
            <w:shd w:val="clear" w:color="auto" w:fill="auto"/>
            <w:tcMar>
              <w:top w:w="15" w:type="dxa"/>
              <w:left w:w="15" w:type="dxa"/>
              <w:right w:w="15" w:type="dxa"/>
            </w:tcMar>
            <w:vAlign w:val="center"/>
          </w:tcPr>
          <w:p>
            <w:pPr>
              <w:pStyle w:val="27"/>
              <w:spacing w:line="160" w:lineRule="exact"/>
              <w:jc w:val="center"/>
              <w:rPr>
                <w:sz w:val="15"/>
                <w:szCs w:val="15"/>
              </w:rPr>
            </w:pPr>
            <w:r>
              <w:rPr>
                <w:rFonts w:hint="eastAsia"/>
                <w:sz w:val="15"/>
                <w:szCs w:val="15"/>
              </w:rPr>
              <w:t>0.9700</w:t>
            </w:r>
          </w:p>
        </w:tc>
        <w:tc>
          <w:tcPr>
            <w:tcW w:w="517" w:type="dxa"/>
            <w:tcBorders>
              <w:tl2br w:val="nil"/>
              <w:tr2bl w:val="nil"/>
            </w:tcBorders>
            <w:shd w:val="clear" w:color="auto" w:fill="auto"/>
            <w:tcMar>
              <w:top w:w="15" w:type="dxa"/>
              <w:left w:w="15" w:type="dxa"/>
              <w:right w:w="15" w:type="dxa"/>
            </w:tcMar>
            <w:vAlign w:val="center"/>
          </w:tcPr>
          <w:p>
            <w:pPr>
              <w:pStyle w:val="27"/>
              <w:spacing w:line="160" w:lineRule="exact"/>
              <w:jc w:val="center"/>
              <w:rPr>
                <w:sz w:val="15"/>
                <w:szCs w:val="15"/>
              </w:rPr>
            </w:pPr>
            <w:r>
              <w:rPr>
                <w:rFonts w:hint="eastAsia"/>
                <w:sz w:val="15"/>
                <w:szCs w:val="15"/>
              </w:rPr>
              <w:t>0.9588</w:t>
            </w:r>
          </w:p>
        </w:tc>
        <w:tc>
          <w:tcPr>
            <w:tcW w:w="517" w:type="dxa"/>
            <w:tcBorders>
              <w:tl2br w:val="nil"/>
              <w:tr2bl w:val="nil"/>
            </w:tcBorders>
            <w:shd w:val="clear" w:color="auto" w:fill="auto"/>
            <w:tcMar>
              <w:top w:w="15" w:type="dxa"/>
              <w:left w:w="15" w:type="dxa"/>
              <w:right w:w="15" w:type="dxa"/>
            </w:tcMar>
            <w:vAlign w:val="center"/>
          </w:tcPr>
          <w:p>
            <w:pPr>
              <w:pStyle w:val="27"/>
              <w:spacing w:line="160" w:lineRule="exact"/>
              <w:jc w:val="center"/>
              <w:rPr>
                <w:sz w:val="15"/>
                <w:szCs w:val="15"/>
              </w:rPr>
            </w:pPr>
            <w:r>
              <w:rPr>
                <w:rFonts w:hint="eastAsia"/>
                <w:sz w:val="15"/>
                <w:szCs w:val="15"/>
              </w:rPr>
              <w:t>0.9527</w:t>
            </w:r>
          </w:p>
        </w:tc>
        <w:tc>
          <w:tcPr>
            <w:tcW w:w="516" w:type="dxa"/>
            <w:tcBorders>
              <w:tl2br w:val="nil"/>
              <w:tr2bl w:val="nil"/>
            </w:tcBorders>
            <w:shd w:val="clear" w:color="auto" w:fill="auto"/>
            <w:tcMar>
              <w:top w:w="15" w:type="dxa"/>
              <w:left w:w="15" w:type="dxa"/>
              <w:right w:w="15" w:type="dxa"/>
            </w:tcMar>
            <w:vAlign w:val="center"/>
          </w:tcPr>
          <w:p>
            <w:pPr>
              <w:pStyle w:val="27"/>
              <w:spacing w:line="160" w:lineRule="exact"/>
              <w:jc w:val="center"/>
              <w:rPr>
                <w:sz w:val="15"/>
                <w:szCs w:val="15"/>
              </w:rPr>
            </w:pPr>
            <w:r>
              <w:rPr>
                <w:rFonts w:hint="eastAsia"/>
                <w:sz w:val="15"/>
                <w:szCs w:val="15"/>
              </w:rPr>
              <w:t>0.9590</w:t>
            </w:r>
          </w:p>
        </w:tc>
        <w:tc>
          <w:tcPr>
            <w:tcW w:w="516" w:type="dxa"/>
            <w:tcBorders>
              <w:tl2br w:val="nil"/>
              <w:tr2bl w:val="nil"/>
            </w:tcBorders>
            <w:shd w:val="clear" w:color="auto" w:fill="auto"/>
            <w:tcMar>
              <w:top w:w="15" w:type="dxa"/>
              <w:left w:w="15" w:type="dxa"/>
              <w:right w:w="15" w:type="dxa"/>
            </w:tcMar>
            <w:vAlign w:val="center"/>
          </w:tcPr>
          <w:p>
            <w:pPr>
              <w:pStyle w:val="27"/>
              <w:spacing w:line="160" w:lineRule="exact"/>
              <w:jc w:val="center"/>
              <w:rPr>
                <w:sz w:val="15"/>
                <w:szCs w:val="15"/>
              </w:rPr>
            </w:pPr>
            <w:r>
              <w:rPr>
                <w:rFonts w:hint="eastAsia"/>
                <w:sz w:val="15"/>
                <w:szCs w:val="15"/>
              </w:rPr>
              <w:t>0.9750</w:t>
            </w:r>
          </w:p>
        </w:tc>
        <w:tc>
          <w:tcPr>
            <w:tcW w:w="516" w:type="dxa"/>
            <w:tcBorders>
              <w:tl2br w:val="nil"/>
              <w:tr2bl w:val="nil"/>
            </w:tcBorders>
            <w:shd w:val="clear" w:color="auto" w:fill="auto"/>
            <w:tcMar>
              <w:top w:w="15" w:type="dxa"/>
              <w:left w:w="15" w:type="dxa"/>
              <w:right w:w="15" w:type="dxa"/>
            </w:tcMar>
            <w:vAlign w:val="center"/>
          </w:tcPr>
          <w:p>
            <w:pPr>
              <w:pStyle w:val="27"/>
              <w:spacing w:line="160" w:lineRule="exact"/>
              <w:jc w:val="center"/>
              <w:rPr>
                <w:sz w:val="15"/>
                <w:szCs w:val="15"/>
              </w:rPr>
            </w:pPr>
            <w:r>
              <w:rPr>
                <w:rFonts w:hint="eastAsia"/>
                <w:sz w:val="15"/>
                <w:szCs w:val="15"/>
              </w:rPr>
              <w:t>0.9553</w:t>
            </w:r>
          </w:p>
        </w:tc>
        <w:tc>
          <w:tcPr>
            <w:tcW w:w="516" w:type="dxa"/>
            <w:tcBorders>
              <w:tl2br w:val="nil"/>
              <w:tr2bl w:val="nil"/>
            </w:tcBorders>
            <w:shd w:val="clear" w:color="auto" w:fill="auto"/>
            <w:tcMar>
              <w:top w:w="15" w:type="dxa"/>
              <w:left w:w="15" w:type="dxa"/>
              <w:right w:w="15" w:type="dxa"/>
            </w:tcMar>
            <w:vAlign w:val="center"/>
          </w:tcPr>
          <w:p>
            <w:pPr>
              <w:pStyle w:val="27"/>
              <w:spacing w:line="160" w:lineRule="exact"/>
              <w:jc w:val="center"/>
              <w:rPr>
                <w:sz w:val="15"/>
                <w:szCs w:val="15"/>
              </w:rPr>
            </w:pPr>
            <w:r>
              <w:rPr>
                <w:rFonts w:hint="eastAsia"/>
                <w:sz w:val="15"/>
                <w:szCs w:val="15"/>
              </w:rPr>
              <w:t>0.9589</w:t>
            </w:r>
          </w:p>
        </w:tc>
        <w:tc>
          <w:tcPr>
            <w:tcW w:w="516" w:type="dxa"/>
            <w:tcBorders>
              <w:tl2br w:val="nil"/>
              <w:tr2bl w:val="nil"/>
            </w:tcBorders>
            <w:shd w:val="clear" w:color="auto" w:fill="auto"/>
            <w:tcMar>
              <w:top w:w="15" w:type="dxa"/>
              <w:left w:w="15" w:type="dxa"/>
              <w:right w:w="15" w:type="dxa"/>
            </w:tcMar>
            <w:vAlign w:val="center"/>
          </w:tcPr>
          <w:p>
            <w:pPr>
              <w:pStyle w:val="27"/>
              <w:spacing w:line="160" w:lineRule="exact"/>
              <w:jc w:val="center"/>
              <w:rPr>
                <w:sz w:val="15"/>
                <w:szCs w:val="15"/>
              </w:rPr>
            </w:pPr>
            <w:r>
              <w:rPr>
                <w:rFonts w:hint="eastAsia"/>
                <w:sz w:val="15"/>
                <w:szCs w:val="15"/>
              </w:rPr>
              <w:t>0.9393</w:t>
            </w:r>
          </w:p>
        </w:tc>
        <w:tc>
          <w:tcPr>
            <w:tcW w:w="451" w:type="dxa"/>
            <w:tcBorders>
              <w:tl2br w:val="nil"/>
              <w:tr2bl w:val="nil"/>
            </w:tcBorders>
            <w:shd w:val="clear" w:color="auto" w:fill="auto"/>
            <w:tcMar>
              <w:top w:w="15" w:type="dxa"/>
              <w:left w:w="15" w:type="dxa"/>
              <w:right w:w="15" w:type="dxa"/>
            </w:tcMar>
            <w:vAlign w:val="center"/>
          </w:tcPr>
          <w:p>
            <w:pPr>
              <w:pStyle w:val="27"/>
              <w:spacing w:line="160" w:lineRule="exact"/>
              <w:jc w:val="center"/>
              <w:rPr>
                <w:sz w:val="15"/>
                <w:szCs w:val="15"/>
              </w:rPr>
            </w:pPr>
            <w:r>
              <w:rPr>
                <w:rFonts w:hint="eastAsia"/>
                <w:sz w:val="15"/>
                <w:szCs w:val="15"/>
              </w:rPr>
              <w:t>0.9096</w:t>
            </w:r>
          </w:p>
        </w:tc>
        <w:tc>
          <w:tcPr>
            <w:tcW w:w="451" w:type="dxa"/>
            <w:tcBorders>
              <w:tl2br w:val="nil"/>
              <w:tr2bl w:val="nil"/>
            </w:tcBorders>
            <w:shd w:val="clear" w:color="auto" w:fill="auto"/>
            <w:tcMar>
              <w:top w:w="15" w:type="dxa"/>
              <w:left w:w="15" w:type="dxa"/>
              <w:right w:w="15" w:type="dxa"/>
            </w:tcMar>
            <w:vAlign w:val="center"/>
          </w:tcPr>
          <w:p>
            <w:pPr>
              <w:pStyle w:val="27"/>
              <w:spacing w:line="160" w:lineRule="exact"/>
              <w:jc w:val="center"/>
              <w:rPr>
                <w:sz w:val="15"/>
                <w:szCs w:val="15"/>
              </w:rPr>
            </w:pPr>
            <w:r>
              <w:rPr>
                <w:rFonts w:hint="eastAsia"/>
                <w:sz w:val="15"/>
                <w:szCs w:val="15"/>
              </w:rPr>
              <w:t>0.8772</w:t>
            </w:r>
          </w:p>
        </w:tc>
        <w:tc>
          <w:tcPr>
            <w:tcW w:w="451" w:type="dxa"/>
            <w:tcBorders>
              <w:tl2br w:val="nil"/>
              <w:tr2bl w:val="nil"/>
            </w:tcBorders>
            <w:shd w:val="clear" w:color="auto" w:fill="auto"/>
            <w:tcMar>
              <w:top w:w="15" w:type="dxa"/>
              <w:left w:w="15" w:type="dxa"/>
              <w:right w:w="15" w:type="dxa"/>
            </w:tcMar>
            <w:vAlign w:val="center"/>
          </w:tcPr>
          <w:p>
            <w:pPr>
              <w:pStyle w:val="27"/>
              <w:spacing w:line="160" w:lineRule="exact"/>
              <w:jc w:val="center"/>
              <w:rPr>
                <w:sz w:val="15"/>
                <w:szCs w:val="15"/>
              </w:rPr>
            </w:pPr>
            <w:r>
              <w:rPr>
                <w:rFonts w:hint="eastAsia"/>
                <w:sz w:val="15"/>
                <w:szCs w:val="15"/>
              </w:rPr>
              <w:t>0.8339</w:t>
            </w:r>
          </w:p>
        </w:tc>
      </w:tr>
    </w:tbl>
    <w:p>
      <w:pPr>
        <w:pStyle w:val="2"/>
      </w:pPr>
    </w:p>
    <w:p>
      <w:pPr>
        <w:pStyle w:val="2"/>
        <w:spacing w:afterLines="50"/>
        <w:jc w:val="center"/>
        <w:rPr>
          <w:rFonts w:eastAsia="仿宋_GB2312"/>
          <w:b/>
          <w:bCs/>
          <w:sz w:val="24"/>
        </w:rPr>
      </w:pPr>
      <w:r>
        <w:drawing>
          <wp:inline distT="0" distB="0" distL="0" distR="0">
            <wp:extent cx="5064760" cy="1836420"/>
            <wp:effectExtent l="0" t="0" r="0" b="0"/>
            <wp:docPr id="65" name="图表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Pr>
          <w:rFonts w:eastAsia="仿宋_GB2312"/>
          <w:b/>
          <w:bCs/>
          <w:sz w:val="24"/>
        </w:rPr>
        <w:t>图</w:t>
      </w:r>
      <w:r>
        <w:rPr>
          <w:rFonts w:hint="eastAsia" w:eastAsia="仿宋_GB2312"/>
          <w:b/>
          <w:bCs/>
          <w:sz w:val="24"/>
        </w:rPr>
        <w:t xml:space="preserve">5  </w:t>
      </w:r>
      <w:r>
        <w:rPr>
          <w:rFonts w:eastAsia="仿宋_GB2312"/>
          <w:b/>
          <w:bCs/>
          <w:sz w:val="24"/>
        </w:rPr>
        <w:t>2009</w:t>
      </w:r>
      <w:r>
        <w:rPr>
          <w:rFonts w:hint="eastAsia" w:eastAsia="仿宋_GB2312"/>
          <w:b/>
          <w:bCs/>
          <w:sz w:val="24"/>
        </w:rPr>
        <w:t>-</w:t>
      </w:r>
      <w:r>
        <w:rPr>
          <w:rFonts w:eastAsia="仿宋_GB2312"/>
          <w:b/>
          <w:bCs/>
          <w:sz w:val="24"/>
        </w:rPr>
        <w:t>2019年陕西与全国民用汽车拥有量</w:t>
      </w:r>
    </w:p>
    <w:p>
      <w:pPr>
        <w:pStyle w:val="2"/>
        <w:ind w:firstLine="440"/>
        <w:jc w:val="center"/>
        <w:rPr>
          <w:sz w:val="22"/>
          <w:szCs w:val="22"/>
        </w:rPr>
      </w:pPr>
      <w:r>
        <w:rPr>
          <w:sz w:val="22"/>
          <w:szCs w:val="22"/>
        </w:rPr>
        <w:drawing>
          <wp:inline distT="0" distB="0" distL="0" distR="0">
            <wp:extent cx="5048885" cy="2360930"/>
            <wp:effectExtent l="0" t="0" r="0" b="0"/>
            <wp:docPr id="66" name="图表 6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pStyle w:val="2"/>
        <w:spacing w:afterLines="50" w:line="580" w:lineRule="exact"/>
        <w:ind w:firstLine="482"/>
        <w:jc w:val="center"/>
        <w:rPr>
          <w:rFonts w:eastAsia="仿宋_GB2312"/>
          <w:b/>
          <w:bCs/>
          <w:sz w:val="24"/>
        </w:rPr>
      </w:pPr>
      <w:r>
        <w:rPr>
          <w:rFonts w:eastAsia="仿宋_GB2312"/>
          <w:b/>
          <w:bCs/>
          <w:sz w:val="24"/>
        </w:rPr>
        <w:t>图</w:t>
      </w:r>
      <w:r>
        <w:rPr>
          <w:rFonts w:hint="eastAsia" w:eastAsia="仿宋_GB2312"/>
          <w:b/>
          <w:bCs/>
          <w:sz w:val="24"/>
        </w:rPr>
        <w:t xml:space="preserve">6  </w:t>
      </w:r>
      <w:r>
        <w:rPr>
          <w:rFonts w:eastAsia="仿宋_GB2312"/>
          <w:b/>
          <w:bCs/>
          <w:sz w:val="24"/>
        </w:rPr>
        <w:t>2009</w:t>
      </w:r>
      <w:r>
        <w:rPr>
          <w:rFonts w:hint="eastAsia" w:eastAsia="仿宋_GB2312"/>
          <w:b/>
          <w:bCs/>
          <w:sz w:val="24"/>
        </w:rPr>
        <w:t>-</w:t>
      </w:r>
      <w:r>
        <w:rPr>
          <w:rFonts w:eastAsia="仿宋_GB2312"/>
          <w:b/>
          <w:bCs/>
          <w:sz w:val="24"/>
        </w:rPr>
        <w:t>2019年陕西与全国人均民用汽车拥有量</w:t>
      </w:r>
    </w:p>
    <w:p>
      <w:pPr>
        <w:pStyle w:val="2"/>
        <w:ind w:firstLine="440"/>
        <w:jc w:val="center"/>
        <w:rPr>
          <w:sz w:val="22"/>
          <w:szCs w:val="22"/>
        </w:rPr>
      </w:pPr>
      <w:r>
        <w:rPr>
          <w:sz w:val="22"/>
          <w:szCs w:val="22"/>
        </w:rPr>
        <w:drawing>
          <wp:inline distT="0" distB="0" distL="0" distR="0">
            <wp:extent cx="4961255" cy="1327785"/>
            <wp:effectExtent l="0" t="0" r="0" b="0"/>
            <wp:docPr id="67" name="图表 6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pStyle w:val="2"/>
        <w:spacing w:afterLines="50"/>
        <w:ind w:firstLine="482"/>
        <w:jc w:val="center"/>
        <w:rPr>
          <w:rFonts w:eastAsia="仿宋_GB2312"/>
          <w:b/>
          <w:bCs/>
          <w:sz w:val="24"/>
        </w:rPr>
      </w:pPr>
      <w:r>
        <w:rPr>
          <w:rFonts w:eastAsia="仿宋_GB2312"/>
          <w:b/>
          <w:bCs/>
          <w:sz w:val="24"/>
        </w:rPr>
        <w:t>图</w:t>
      </w:r>
      <w:r>
        <w:rPr>
          <w:rFonts w:hint="eastAsia" w:eastAsia="仿宋_GB2312"/>
          <w:b/>
          <w:bCs/>
          <w:sz w:val="24"/>
        </w:rPr>
        <w:t xml:space="preserve">7  </w:t>
      </w:r>
      <w:r>
        <w:rPr>
          <w:rFonts w:eastAsia="仿宋_GB2312"/>
          <w:b/>
          <w:bCs/>
          <w:sz w:val="24"/>
        </w:rPr>
        <w:t>2009</w:t>
      </w:r>
      <w:r>
        <w:rPr>
          <w:rFonts w:hint="eastAsia" w:eastAsia="仿宋_GB2312"/>
          <w:b/>
          <w:bCs/>
          <w:sz w:val="24"/>
        </w:rPr>
        <w:t>-</w:t>
      </w:r>
      <w:r>
        <w:rPr>
          <w:rFonts w:eastAsia="仿宋_GB2312"/>
          <w:b/>
          <w:bCs/>
          <w:sz w:val="24"/>
        </w:rPr>
        <w:t>2019年陕西人均民用汽车拥有量/全国人均民用汽车拥有量</w:t>
      </w:r>
    </w:p>
    <w:p>
      <w:pPr>
        <w:adjustRightInd w:val="0"/>
        <w:snapToGrid w:val="0"/>
        <w:spacing w:line="580" w:lineRule="exact"/>
        <w:jc w:val="center"/>
        <w:rPr>
          <w:rFonts w:ascii="Times New Roman" w:hAnsi="Times New Roman" w:eastAsia="仿宋_GB2312" w:cs="Times New Roman"/>
          <w:b/>
          <w:bCs/>
          <w:sz w:val="24"/>
        </w:rPr>
      </w:pPr>
      <w:r>
        <w:rPr>
          <w:rFonts w:ascii="Times New Roman" w:hAnsi="Times New Roman" w:eastAsia="仿宋_GB2312" w:cs="Times New Roman"/>
          <w:b/>
          <w:bCs/>
          <w:sz w:val="24"/>
        </w:rPr>
        <w:t>表</w:t>
      </w:r>
      <w:r>
        <w:rPr>
          <w:rFonts w:hint="eastAsia" w:ascii="Times New Roman" w:hAnsi="Times New Roman" w:eastAsia="仿宋_GB2312" w:cs="Times New Roman"/>
          <w:b/>
          <w:bCs/>
          <w:sz w:val="24"/>
        </w:rPr>
        <w:t xml:space="preserve">6  </w:t>
      </w:r>
      <w:r>
        <w:rPr>
          <w:rFonts w:ascii="Times New Roman" w:hAnsi="Times New Roman" w:eastAsia="仿宋_GB2312" w:cs="Times New Roman"/>
          <w:b/>
          <w:bCs/>
          <w:sz w:val="24"/>
        </w:rPr>
        <w:t>全</w:t>
      </w:r>
      <w:r>
        <w:rPr>
          <w:rFonts w:hint="eastAsia" w:ascii="Times New Roman" w:hAnsi="Times New Roman" w:eastAsia="仿宋_GB2312" w:cs="Times New Roman"/>
          <w:b/>
          <w:bCs/>
          <w:sz w:val="24"/>
        </w:rPr>
        <w:t>国汽车</w:t>
      </w:r>
      <w:r>
        <w:rPr>
          <w:rFonts w:ascii="Times New Roman" w:hAnsi="Times New Roman" w:eastAsia="仿宋_GB2312" w:cs="Times New Roman"/>
          <w:b/>
          <w:bCs/>
          <w:sz w:val="24"/>
        </w:rPr>
        <w:t>2009-2020</w:t>
      </w:r>
      <w:r>
        <w:rPr>
          <w:rFonts w:hint="eastAsia" w:ascii="Times New Roman" w:hAnsi="Times New Roman" w:eastAsia="仿宋_GB2312" w:cs="Times New Roman"/>
          <w:b/>
          <w:bCs/>
          <w:sz w:val="24"/>
        </w:rPr>
        <w:t>年销量情况</w:t>
      </w:r>
    </w:p>
    <w:tbl>
      <w:tblPr>
        <w:tblStyle w:val="17"/>
        <w:tblW w:w="83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795"/>
        <w:gridCol w:w="695"/>
        <w:gridCol w:w="542"/>
        <w:gridCol w:w="542"/>
        <w:gridCol w:w="530"/>
        <w:gridCol w:w="530"/>
        <w:gridCol w:w="530"/>
        <w:gridCol w:w="530"/>
        <w:gridCol w:w="530"/>
        <w:gridCol w:w="530"/>
        <w:gridCol w:w="530"/>
        <w:gridCol w:w="530"/>
        <w:gridCol w:w="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1795" w:type="dxa"/>
            <w:tcBorders>
              <w:tl2br w:val="nil"/>
              <w:tr2bl w:val="nil"/>
            </w:tcBorders>
            <w:shd w:val="clear" w:color="auto" w:fill="auto"/>
            <w:tcMar>
              <w:top w:w="15" w:type="dxa"/>
              <w:left w:w="15" w:type="dxa"/>
              <w:right w:w="15" w:type="dxa"/>
            </w:tcMar>
            <w:vAlign w:val="center"/>
          </w:tcPr>
          <w:p>
            <w:pPr>
              <w:pStyle w:val="27"/>
              <w:spacing w:line="200" w:lineRule="exact"/>
              <w:jc w:val="center"/>
              <w:rPr>
                <w:rFonts w:ascii="仿宋" w:hAnsi="仿宋" w:eastAsia="仿宋"/>
                <w:sz w:val="15"/>
                <w:szCs w:val="15"/>
              </w:rPr>
            </w:pPr>
          </w:p>
        </w:tc>
        <w:tc>
          <w:tcPr>
            <w:tcW w:w="695" w:type="dxa"/>
            <w:tcBorders>
              <w:tl2br w:val="nil"/>
              <w:tr2bl w:val="nil"/>
            </w:tcBorders>
            <w:shd w:val="clear" w:color="auto" w:fill="auto"/>
            <w:tcMar>
              <w:top w:w="15" w:type="dxa"/>
              <w:left w:w="15" w:type="dxa"/>
              <w:right w:w="15" w:type="dxa"/>
            </w:tcMar>
            <w:vAlign w:val="center"/>
          </w:tcPr>
          <w:p>
            <w:pPr>
              <w:pStyle w:val="27"/>
              <w:spacing w:line="200" w:lineRule="exact"/>
              <w:jc w:val="center"/>
              <w:rPr>
                <w:rFonts w:ascii="仿宋" w:hAnsi="仿宋" w:eastAsia="仿宋"/>
                <w:sz w:val="15"/>
                <w:szCs w:val="15"/>
              </w:rPr>
            </w:pPr>
            <w:r>
              <w:rPr>
                <w:rFonts w:ascii="仿宋" w:hAnsi="仿宋" w:eastAsia="仿宋"/>
                <w:sz w:val="15"/>
                <w:szCs w:val="15"/>
              </w:rPr>
              <w:t>2020</w:t>
            </w:r>
            <w:r>
              <w:rPr>
                <w:rFonts w:hint="eastAsia" w:ascii="仿宋" w:hAnsi="仿宋" w:eastAsia="仿宋"/>
                <w:sz w:val="15"/>
                <w:szCs w:val="15"/>
              </w:rPr>
              <w:t>年</w:t>
            </w:r>
          </w:p>
        </w:tc>
        <w:tc>
          <w:tcPr>
            <w:tcW w:w="542" w:type="dxa"/>
            <w:tcBorders>
              <w:tl2br w:val="nil"/>
              <w:tr2bl w:val="nil"/>
            </w:tcBorders>
            <w:shd w:val="clear" w:color="auto" w:fill="auto"/>
            <w:tcMar>
              <w:top w:w="15" w:type="dxa"/>
              <w:left w:w="15" w:type="dxa"/>
              <w:right w:w="15" w:type="dxa"/>
            </w:tcMar>
            <w:vAlign w:val="center"/>
          </w:tcPr>
          <w:p>
            <w:pPr>
              <w:pStyle w:val="27"/>
              <w:spacing w:line="200" w:lineRule="exact"/>
              <w:jc w:val="center"/>
              <w:rPr>
                <w:sz w:val="15"/>
                <w:szCs w:val="15"/>
              </w:rPr>
            </w:pPr>
            <w:r>
              <w:rPr>
                <w:rFonts w:hint="eastAsia"/>
                <w:sz w:val="15"/>
                <w:szCs w:val="15"/>
              </w:rPr>
              <w:t>2019</w:t>
            </w:r>
          </w:p>
        </w:tc>
        <w:tc>
          <w:tcPr>
            <w:tcW w:w="542" w:type="dxa"/>
            <w:tcBorders>
              <w:tl2br w:val="nil"/>
              <w:tr2bl w:val="nil"/>
            </w:tcBorders>
            <w:shd w:val="clear" w:color="auto" w:fill="auto"/>
            <w:tcMar>
              <w:top w:w="15" w:type="dxa"/>
              <w:left w:w="15" w:type="dxa"/>
              <w:right w:w="15" w:type="dxa"/>
            </w:tcMar>
            <w:vAlign w:val="center"/>
          </w:tcPr>
          <w:p>
            <w:pPr>
              <w:pStyle w:val="27"/>
              <w:spacing w:line="200" w:lineRule="exact"/>
              <w:jc w:val="center"/>
              <w:rPr>
                <w:sz w:val="15"/>
                <w:szCs w:val="15"/>
              </w:rPr>
            </w:pPr>
            <w:r>
              <w:rPr>
                <w:rFonts w:hint="eastAsia"/>
                <w:sz w:val="15"/>
                <w:szCs w:val="15"/>
              </w:rPr>
              <w:t>2018</w:t>
            </w:r>
          </w:p>
        </w:tc>
        <w:tc>
          <w:tcPr>
            <w:tcW w:w="530" w:type="dxa"/>
            <w:tcBorders>
              <w:tl2br w:val="nil"/>
              <w:tr2bl w:val="nil"/>
            </w:tcBorders>
            <w:shd w:val="clear" w:color="auto" w:fill="auto"/>
            <w:tcMar>
              <w:top w:w="15" w:type="dxa"/>
              <w:left w:w="15" w:type="dxa"/>
              <w:right w:w="15" w:type="dxa"/>
            </w:tcMar>
            <w:vAlign w:val="center"/>
          </w:tcPr>
          <w:p>
            <w:pPr>
              <w:pStyle w:val="27"/>
              <w:spacing w:line="200" w:lineRule="exact"/>
              <w:jc w:val="center"/>
              <w:rPr>
                <w:sz w:val="15"/>
                <w:szCs w:val="15"/>
              </w:rPr>
            </w:pPr>
            <w:r>
              <w:rPr>
                <w:rFonts w:hint="eastAsia"/>
                <w:sz w:val="15"/>
                <w:szCs w:val="15"/>
              </w:rPr>
              <w:t>2017</w:t>
            </w:r>
          </w:p>
        </w:tc>
        <w:tc>
          <w:tcPr>
            <w:tcW w:w="530" w:type="dxa"/>
            <w:tcBorders>
              <w:tl2br w:val="nil"/>
              <w:tr2bl w:val="nil"/>
            </w:tcBorders>
            <w:shd w:val="clear" w:color="auto" w:fill="auto"/>
            <w:tcMar>
              <w:top w:w="15" w:type="dxa"/>
              <w:left w:w="15" w:type="dxa"/>
              <w:right w:w="15" w:type="dxa"/>
            </w:tcMar>
            <w:vAlign w:val="center"/>
          </w:tcPr>
          <w:p>
            <w:pPr>
              <w:pStyle w:val="27"/>
              <w:spacing w:line="200" w:lineRule="exact"/>
              <w:jc w:val="center"/>
              <w:rPr>
                <w:sz w:val="15"/>
                <w:szCs w:val="15"/>
              </w:rPr>
            </w:pPr>
            <w:r>
              <w:rPr>
                <w:rFonts w:hint="eastAsia"/>
                <w:sz w:val="15"/>
                <w:szCs w:val="15"/>
              </w:rPr>
              <w:t>2016</w:t>
            </w:r>
          </w:p>
        </w:tc>
        <w:tc>
          <w:tcPr>
            <w:tcW w:w="530" w:type="dxa"/>
            <w:tcBorders>
              <w:tl2br w:val="nil"/>
              <w:tr2bl w:val="nil"/>
            </w:tcBorders>
            <w:shd w:val="clear" w:color="auto" w:fill="auto"/>
            <w:tcMar>
              <w:top w:w="15" w:type="dxa"/>
              <w:left w:w="15" w:type="dxa"/>
              <w:right w:w="15" w:type="dxa"/>
            </w:tcMar>
            <w:vAlign w:val="center"/>
          </w:tcPr>
          <w:p>
            <w:pPr>
              <w:pStyle w:val="27"/>
              <w:spacing w:line="200" w:lineRule="exact"/>
              <w:jc w:val="center"/>
              <w:rPr>
                <w:sz w:val="15"/>
                <w:szCs w:val="15"/>
              </w:rPr>
            </w:pPr>
            <w:r>
              <w:rPr>
                <w:rFonts w:hint="eastAsia"/>
                <w:sz w:val="15"/>
                <w:szCs w:val="15"/>
              </w:rPr>
              <w:t>2015</w:t>
            </w:r>
          </w:p>
        </w:tc>
        <w:tc>
          <w:tcPr>
            <w:tcW w:w="530" w:type="dxa"/>
            <w:tcBorders>
              <w:tl2br w:val="nil"/>
              <w:tr2bl w:val="nil"/>
            </w:tcBorders>
            <w:shd w:val="clear" w:color="auto" w:fill="auto"/>
            <w:tcMar>
              <w:top w:w="15" w:type="dxa"/>
              <w:left w:w="15" w:type="dxa"/>
              <w:right w:w="15" w:type="dxa"/>
            </w:tcMar>
            <w:vAlign w:val="center"/>
          </w:tcPr>
          <w:p>
            <w:pPr>
              <w:pStyle w:val="27"/>
              <w:spacing w:line="200" w:lineRule="exact"/>
              <w:jc w:val="center"/>
              <w:rPr>
                <w:sz w:val="15"/>
                <w:szCs w:val="15"/>
              </w:rPr>
            </w:pPr>
            <w:r>
              <w:rPr>
                <w:rFonts w:hint="eastAsia"/>
                <w:sz w:val="15"/>
                <w:szCs w:val="15"/>
              </w:rPr>
              <w:t>2014</w:t>
            </w:r>
          </w:p>
        </w:tc>
        <w:tc>
          <w:tcPr>
            <w:tcW w:w="530" w:type="dxa"/>
            <w:tcBorders>
              <w:tl2br w:val="nil"/>
              <w:tr2bl w:val="nil"/>
            </w:tcBorders>
            <w:shd w:val="clear" w:color="auto" w:fill="auto"/>
            <w:tcMar>
              <w:top w:w="15" w:type="dxa"/>
              <w:left w:w="15" w:type="dxa"/>
              <w:right w:w="15" w:type="dxa"/>
            </w:tcMar>
            <w:vAlign w:val="center"/>
          </w:tcPr>
          <w:p>
            <w:pPr>
              <w:pStyle w:val="27"/>
              <w:spacing w:line="200" w:lineRule="exact"/>
              <w:jc w:val="center"/>
              <w:rPr>
                <w:sz w:val="15"/>
                <w:szCs w:val="15"/>
              </w:rPr>
            </w:pPr>
            <w:r>
              <w:rPr>
                <w:rFonts w:hint="eastAsia"/>
                <w:sz w:val="15"/>
                <w:szCs w:val="15"/>
              </w:rPr>
              <w:t>2013</w:t>
            </w:r>
          </w:p>
        </w:tc>
        <w:tc>
          <w:tcPr>
            <w:tcW w:w="530" w:type="dxa"/>
            <w:tcBorders>
              <w:tl2br w:val="nil"/>
              <w:tr2bl w:val="nil"/>
            </w:tcBorders>
            <w:shd w:val="clear" w:color="auto" w:fill="auto"/>
            <w:tcMar>
              <w:top w:w="15" w:type="dxa"/>
              <w:left w:w="15" w:type="dxa"/>
              <w:right w:w="15" w:type="dxa"/>
            </w:tcMar>
            <w:vAlign w:val="center"/>
          </w:tcPr>
          <w:p>
            <w:pPr>
              <w:pStyle w:val="27"/>
              <w:spacing w:line="200" w:lineRule="exact"/>
              <w:jc w:val="center"/>
              <w:rPr>
                <w:sz w:val="15"/>
                <w:szCs w:val="15"/>
              </w:rPr>
            </w:pPr>
            <w:r>
              <w:rPr>
                <w:rFonts w:hint="eastAsia"/>
                <w:sz w:val="15"/>
                <w:szCs w:val="15"/>
              </w:rPr>
              <w:t>2012</w:t>
            </w:r>
          </w:p>
        </w:tc>
        <w:tc>
          <w:tcPr>
            <w:tcW w:w="530" w:type="dxa"/>
            <w:tcBorders>
              <w:tl2br w:val="nil"/>
              <w:tr2bl w:val="nil"/>
            </w:tcBorders>
            <w:shd w:val="clear" w:color="auto" w:fill="auto"/>
            <w:tcMar>
              <w:top w:w="15" w:type="dxa"/>
              <w:left w:w="15" w:type="dxa"/>
              <w:right w:w="15" w:type="dxa"/>
            </w:tcMar>
            <w:vAlign w:val="center"/>
          </w:tcPr>
          <w:p>
            <w:pPr>
              <w:pStyle w:val="27"/>
              <w:spacing w:line="200" w:lineRule="exact"/>
              <w:jc w:val="center"/>
              <w:rPr>
                <w:sz w:val="15"/>
                <w:szCs w:val="15"/>
              </w:rPr>
            </w:pPr>
            <w:r>
              <w:rPr>
                <w:rFonts w:hint="eastAsia"/>
                <w:sz w:val="15"/>
                <w:szCs w:val="15"/>
              </w:rPr>
              <w:t>2011</w:t>
            </w:r>
          </w:p>
        </w:tc>
        <w:tc>
          <w:tcPr>
            <w:tcW w:w="530" w:type="dxa"/>
            <w:tcBorders>
              <w:tl2br w:val="nil"/>
              <w:tr2bl w:val="nil"/>
            </w:tcBorders>
            <w:shd w:val="clear" w:color="auto" w:fill="auto"/>
            <w:tcMar>
              <w:top w:w="15" w:type="dxa"/>
              <w:left w:w="15" w:type="dxa"/>
              <w:right w:w="15" w:type="dxa"/>
            </w:tcMar>
            <w:vAlign w:val="center"/>
          </w:tcPr>
          <w:p>
            <w:pPr>
              <w:pStyle w:val="27"/>
              <w:spacing w:line="200" w:lineRule="exact"/>
              <w:jc w:val="center"/>
              <w:rPr>
                <w:sz w:val="15"/>
                <w:szCs w:val="15"/>
              </w:rPr>
            </w:pPr>
            <w:r>
              <w:rPr>
                <w:rFonts w:hint="eastAsia"/>
                <w:sz w:val="15"/>
                <w:szCs w:val="15"/>
              </w:rPr>
              <w:t>2010</w:t>
            </w:r>
          </w:p>
        </w:tc>
        <w:tc>
          <w:tcPr>
            <w:tcW w:w="522" w:type="dxa"/>
            <w:tcBorders>
              <w:tl2br w:val="nil"/>
              <w:tr2bl w:val="nil"/>
            </w:tcBorders>
            <w:shd w:val="clear" w:color="auto" w:fill="auto"/>
            <w:tcMar>
              <w:top w:w="15" w:type="dxa"/>
              <w:left w:w="15" w:type="dxa"/>
              <w:right w:w="15" w:type="dxa"/>
            </w:tcMar>
            <w:vAlign w:val="center"/>
          </w:tcPr>
          <w:p>
            <w:pPr>
              <w:pStyle w:val="27"/>
              <w:spacing w:line="200" w:lineRule="exact"/>
              <w:jc w:val="center"/>
              <w:rPr>
                <w:sz w:val="15"/>
                <w:szCs w:val="15"/>
              </w:rPr>
            </w:pPr>
            <w:r>
              <w:rPr>
                <w:rFonts w:hint="eastAsia"/>
                <w:sz w:val="15"/>
                <w:szCs w:val="15"/>
              </w:rPr>
              <w:t>2009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1795" w:type="dxa"/>
            <w:tcBorders>
              <w:tl2br w:val="nil"/>
              <w:tr2bl w:val="nil"/>
            </w:tcBorders>
            <w:shd w:val="clear" w:color="auto" w:fill="auto"/>
            <w:tcMar>
              <w:top w:w="15" w:type="dxa"/>
              <w:left w:w="15" w:type="dxa"/>
              <w:right w:w="15" w:type="dxa"/>
            </w:tcMar>
            <w:vAlign w:val="center"/>
          </w:tcPr>
          <w:p>
            <w:pPr>
              <w:pStyle w:val="27"/>
              <w:spacing w:line="200" w:lineRule="exact"/>
              <w:jc w:val="center"/>
              <w:rPr>
                <w:rFonts w:ascii="仿宋" w:hAnsi="仿宋" w:eastAsia="仿宋"/>
                <w:sz w:val="15"/>
                <w:szCs w:val="15"/>
              </w:rPr>
            </w:pPr>
            <w:r>
              <w:rPr>
                <w:rFonts w:hint="eastAsia" w:ascii="仿宋" w:hAnsi="仿宋" w:eastAsia="仿宋"/>
                <w:sz w:val="15"/>
                <w:szCs w:val="15"/>
              </w:rPr>
              <w:t>全国汽车销量（万辆）</w:t>
            </w:r>
          </w:p>
        </w:tc>
        <w:tc>
          <w:tcPr>
            <w:tcW w:w="695" w:type="dxa"/>
            <w:tcBorders>
              <w:tl2br w:val="nil"/>
              <w:tr2bl w:val="nil"/>
            </w:tcBorders>
            <w:shd w:val="clear" w:color="auto" w:fill="auto"/>
            <w:tcMar>
              <w:top w:w="15" w:type="dxa"/>
              <w:left w:w="15" w:type="dxa"/>
              <w:right w:w="15" w:type="dxa"/>
            </w:tcMar>
            <w:vAlign w:val="center"/>
          </w:tcPr>
          <w:p>
            <w:pPr>
              <w:pStyle w:val="27"/>
              <w:spacing w:line="200" w:lineRule="exact"/>
              <w:jc w:val="center"/>
              <w:rPr>
                <w:sz w:val="15"/>
                <w:szCs w:val="15"/>
              </w:rPr>
            </w:pPr>
            <w:r>
              <w:rPr>
                <w:rFonts w:hint="eastAsia"/>
                <w:sz w:val="15"/>
                <w:szCs w:val="15"/>
              </w:rPr>
              <w:t>2531</w:t>
            </w:r>
          </w:p>
        </w:tc>
        <w:tc>
          <w:tcPr>
            <w:tcW w:w="542" w:type="dxa"/>
            <w:tcBorders>
              <w:tl2br w:val="nil"/>
              <w:tr2bl w:val="nil"/>
            </w:tcBorders>
            <w:shd w:val="clear" w:color="auto" w:fill="auto"/>
            <w:tcMar>
              <w:top w:w="15" w:type="dxa"/>
              <w:left w:w="15" w:type="dxa"/>
              <w:right w:w="15" w:type="dxa"/>
            </w:tcMar>
            <w:vAlign w:val="center"/>
          </w:tcPr>
          <w:p>
            <w:pPr>
              <w:pStyle w:val="27"/>
              <w:spacing w:line="200" w:lineRule="exact"/>
              <w:jc w:val="center"/>
              <w:rPr>
                <w:sz w:val="15"/>
                <w:szCs w:val="15"/>
              </w:rPr>
            </w:pPr>
            <w:r>
              <w:rPr>
                <w:rFonts w:hint="eastAsia"/>
                <w:sz w:val="15"/>
                <w:szCs w:val="15"/>
              </w:rPr>
              <w:t>2576.9</w:t>
            </w:r>
          </w:p>
        </w:tc>
        <w:tc>
          <w:tcPr>
            <w:tcW w:w="542" w:type="dxa"/>
            <w:tcBorders>
              <w:tl2br w:val="nil"/>
              <w:tr2bl w:val="nil"/>
            </w:tcBorders>
            <w:shd w:val="clear" w:color="auto" w:fill="auto"/>
            <w:tcMar>
              <w:top w:w="15" w:type="dxa"/>
              <w:left w:w="15" w:type="dxa"/>
              <w:right w:w="15" w:type="dxa"/>
            </w:tcMar>
            <w:vAlign w:val="center"/>
          </w:tcPr>
          <w:p>
            <w:pPr>
              <w:pStyle w:val="27"/>
              <w:spacing w:line="200" w:lineRule="exact"/>
              <w:jc w:val="center"/>
              <w:rPr>
                <w:sz w:val="15"/>
                <w:szCs w:val="15"/>
              </w:rPr>
            </w:pPr>
            <w:r>
              <w:rPr>
                <w:rFonts w:hint="eastAsia"/>
                <w:sz w:val="15"/>
                <w:szCs w:val="15"/>
              </w:rPr>
              <w:t>2808.</w:t>
            </w:r>
          </w:p>
        </w:tc>
        <w:tc>
          <w:tcPr>
            <w:tcW w:w="530" w:type="dxa"/>
            <w:tcBorders>
              <w:tl2br w:val="nil"/>
              <w:tr2bl w:val="nil"/>
            </w:tcBorders>
            <w:shd w:val="clear" w:color="auto" w:fill="auto"/>
            <w:tcMar>
              <w:top w:w="15" w:type="dxa"/>
              <w:left w:w="15" w:type="dxa"/>
              <w:right w:w="15" w:type="dxa"/>
            </w:tcMar>
            <w:vAlign w:val="center"/>
          </w:tcPr>
          <w:p>
            <w:pPr>
              <w:pStyle w:val="27"/>
              <w:spacing w:line="200" w:lineRule="exact"/>
              <w:jc w:val="center"/>
              <w:rPr>
                <w:sz w:val="15"/>
                <w:szCs w:val="15"/>
              </w:rPr>
            </w:pPr>
            <w:r>
              <w:rPr>
                <w:rFonts w:hint="eastAsia"/>
                <w:sz w:val="15"/>
                <w:szCs w:val="15"/>
              </w:rPr>
              <w:t>2887</w:t>
            </w:r>
          </w:p>
        </w:tc>
        <w:tc>
          <w:tcPr>
            <w:tcW w:w="530" w:type="dxa"/>
            <w:tcBorders>
              <w:tl2br w:val="nil"/>
              <w:tr2bl w:val="nil"/>
            </w:tcBorders>
            <w:shd w:val="clear" w:color="auto" w:fill="auto"/>
            <w:tcMar>
              <w:top w:w="15" w:type="dxa"/>
              <w:left w:w="15" w:type="dxa"/>
              <w:right w:w="15" w:type="dxa"/>
            </w:tcMar>
            <w:vAlign w:val="center"/>
          </w:tcPr>
          <w:p>
            <w:pPr>
              <w:pStyle w:val="27"/>
              <w:spacing w:line="200" w:lineRule="exact"/>
              <w:jc w:val="center"/>
              <w:rPr>
                <w:sz w:val="15"/>
                <w:szCs w:val="15"/>
              </w:rPr>
            </w:pPr>
            <w:r>
              <w:rPr>
                <w:rFonts w:hint="eastAsia"/>
                <w:sz w:val="15"/>
                <w:szCs w:val="15"/>
              </w:rPr>
              <w:t>2802</w:t>
            </w:r>
          </w:p>
        </w:tc>
        <w:tc>
          <w:tcPr>
            <w:tcW w:w="530" w:type="dxa"/>
            <w:tcBorders>
              <w:tl2br w:val="nil"/>
              <w:tr2bl w:val="nil"/>
            </w:tcBorders>
            <w:shd w:val="clear" w:color="auto" w:fill="auto"/>
            <w:tcMar>
              <w:top w:w="15" w:type="dxa"/>
              <w:left w:w="15" w:type="dxa"/>
              <w:right w:w="15" w:type="dxa"/>
            </w:tcMar>
            <w:vAlign w:val="center"/>
          </w:tcPr>
          <w:p>
            <w:pPr>
              <w:pStyle w:val="27"/>
              <w:spacing w:line="200" w:lineRule="exact"/>
              <w:jc w:val="center"/>
              <w:rPr>
                <w:sz w:val="15"/>
                <w:szCs w:val="15"/>
              </w:rPr>
            </w:pPr>
            <w:r>
              <w:rPr>
                <w:rFonts w:hint="eastAsia"/>
                <w:sz w:val="15"/>
                <w:szCs w:val="15"/>
              </w:rPr>
              <w:t>2459</w:t>
            </w:r>
          </w:p>
        </w:tc>
        <w:tc>
          <w:tcPr>
            <w:tcW w:w="530" w:type="dxa"/>
            <w:tcBorders>
              <w:tl2br w:val="nil"/>
              <w:tr2bl w:val="nil"/>
            </w:tcBorders>
            <w:shd w:val="clear" w:color="auto" w:fill="auto"/>
            <w:tcMar>
              <w:top w:w="15" w:type="dxa"/>
              <w:left w:w="15" w:type="dxa"/>
              <w:right w:w="15" w:type="dxa"/>
            </w:tcMar>
            <w:vAlign w:val="center"/>
          </w:tcPr>
          <w:p>
            <w:pPr>
              <w:pStyle w:val="27"/>
              <w:spacing w:line="200" w:lineRule="exact"/>
              <w:jc w:val="center"/>
              <w:rPr>
                <w:sz w:val="15"/>
                <w:szCs w:val="15"/>
              </w:rPr>
            </w:pPr>
            <w:r>
              <w:rPr>
                <w:rFonts w:hint="eastAsia"/>
                <w:sz w:val="15"/>
                <w:szCs w:val="15"/>
              </w:rPr>
              <w:t>2349</w:t>
            </w:r>
          </w:p>
        </w:tc>
        <w:tc>
          <w:tcPr>
            <w:tcW w:w="530" w:type="dxa"/>
            <w:tcBorders>
              <w:tl2br w:val="nil"/>
              <w:tr2bl w:val="nil"/>
            </w:tcBorders>
            <w:shd w:val="clear" w:color="auto" w:fill="auto"/>
            <w:tcMar>
              <w:top w:w="15" w:type="dxa"/>
              <w:left w:w="15" w:type="dxa"/>
              <w:right w:w="15" w:type="dxa"/>
            </w:tcMar>
            <w:vAlign w:val="center"/>
          </w:tcPr>
          <w:p>
            <w:pPr>
              <w:pStyle w:val="27"/>
              <w:spacing w:line="200" w:lineRule="exact"/>
              <w:jc w:val="center"/>
              <w:rPr>
                <w:sz w:val="15"/>
                <w:szCs w:val="15"/>
              </w:rPr>
            </w:pPr>
            <w:r>
              <w:rPr>
                <w:rFonts w:hint="eastAsia"/>
                <w:sz w:val="15"/>
                <w:szCs w:val="15"/>
              </w:rPr>
              <w:t>2198</w:t>
            </w:r>
          </w:p>
        </w:tc>
        <w:tc>
          <w:tcPr>
            <w:tcW w:w="530" w:type="dxa"/>
            <w:tcBorders>
              <w:tl2br w:val="nil"/>
              <w:tr2bl w:val="nil"/>
            </w:tcBorders>
            <w:shd w:val="clear" w:color="auto" w:fill="auto"/>
            <w:tcMar>
              <w:top w:w="15" w:type="dxa"/>
              <w:left w:w="15" w:type="dxa"/>
              <w:right w:w="15" w:type="dxa"/>
            </w:tcMar>
            <w:vAlign w:val="center"/>
          </w:tcPr>
          <w:p>
            <w:pPr>
              <w:pStyle w:val="27"/>
              <w:spacing w:line="200" w:lineRule="exact"/>
              <w:jc w:val="center"/>
              <w:rPr>
                <w:sz w:val="15"/>
                <w:szCs w:val="15"/>
              </w:rPr>
            </w:pPr>
            <w:r>
              <w:rPr>
                <w:rFonts w:hint="eastAsia"/>
                <w:sz w:val="15"/>
                <w:szCs w:val="15"/>
              </w:rPr>
              <w:t>1930</w:t>
            </w:r>
          </w:p>
        </w:tc>
        <w:tc>
          <w:tcPr>
            <w:tcW w:w="530" w:type="dxa"/>
            <w:tcBorders>
              <w:tl2br w:val="nil"/>
              <w:tr2bl w:val="nil"/>
            </w:tcBorders>
            <w:shd w:val="clear" w:color="auto" w:fill="auto"/>
            <w:tcMar>
              <w:top w:w="15" w:type="dxa"/>
              <w:left w:w="15" w:type="dxa"/>
              <w:right w:w="15" w:type="dxa"/>
            </w:tcMar>
            <w:vAlign w:val="center"/>
          </w:tcPr>
          <w:p>
            <w:pPr>
              <w:pStyle w:val="27"/>
              <w:spacing w:line="200" w:lineRule="exact"/>
              <w:jc w:val="center"/>
              <w:rPr>
                <w:sz w:val="15"/>
                <w:szCs w:val="15"/>
              </w:rPr>
            </w:pPr>
            <w:r>
              <w:rPr>
                <w:rFonts w:hint="eastAsia"/>
                <w:sz w:val="15"/>
                <w:szCs w:val="15"/>
              </w:rPr>
              <w:t>1850</w:t>
            </w:r>
          </w:p>
        </w:tc>
        <w:tc>
          <w:tcPr>
            <w:tcW w:w="530" w:type="dxa"/>
            <w:tcBorders>
              <w:tl2br w:val="nil"/>
              <w:tr2bl w:val="nil"/>
            </w:tcBorders>
            <w:shd w:val="clear" w:color="auto" w:fill="auto"/>
            <w:tcMar>
              <w:top w:w="15" w:type="dxa"/>
              <w:left w:w="15" w:type="dxa"/>
              <w:right w:w="15" w:type="dxa"/>
            </w:tcMar>
            <w:vAlign w:val="center"/>
          </w:tcPr>
          <w:p>
            <w:pPr>
              <w:pStyle w:val="27"/>
              <w:spacing w:line="200" w:lineRule="exact"/>
              <w:jc w:val="center"/>
              <w:rPr>
                <w:sz w:val="15"/>
                <w:szCs w:val="15"/>
              </w:rPr>
            </w:pPr>
            <w:r>
              <w:rPr>
                <w:rFonts w:hint="eastAsia"/>
                <w:sz w:val="15"/>
                <w:szCs w:val="15"/>
              </w:rPr>
              <w:t>1806</w:t>
            </w:r>
          </w:p>
        </w:tc>
        <w:tc>
          <w:tcPr>
            <w:tcW w:w="522" w:type="dxa"/>
            <w:tcBorders>
              <w:tl2br w:val="nil"/>
              <w:tr2bl w:val="nil"/>
            </w:tcBorders>
            <w:shd w:val="clear" w:color="auto" w:fill="auto"/>
            <w:tcMar>
              <w:top w:w="15" w:type="dxa"/>
              <w:left w:w="15" w:type="dxa"/>
              <w:right w:w="15" w:type="dxa"/>
            </w:tcMar>
            <w:vAlign w:val="center"/>
          </w:tcPr>
          <w:p>
            <w:pPr>
              <w:pStyle w:val="27"/>
              <w:spacing w:line="200" w:lineRule="exact"/>
              <w:jc w:val="center"/>
              <w:rPr>
                <w:sz w:val="15"/>
                <w:szCs w:val="15"/>
              </w:rPr>
            </w:pPr>
            <w:r>
              <w:rPr>
                <w:rFonts w:hint="eastAsia"/>
                <w:sz w:val="15"/>
                <w:szCs w:val="15"/>
              </w:rPr>
              <w:t>1364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1795" w:type="dxa"/>
            <w:tcBorders>
              <w:tl2br w:val="nil"/>
              <w:tr2bl w:val="nil"/>
            </w:tcBorders>
            <w:shd w:val="clear" w:color="auto" w:fill="auto"/>
            <w:tcMar>
              <w:top w:w="15" w:type="dxa"/>
              <w:left w:w="15" w:type="dxa"/>
              <w:right w:w="15" w:type="dxa"/>
            </w:tcMar>
            <w:vAlign w:val="center"/>
          </w:tcPr>
          <w:p>
            <w:pPr>
              <w:pStyle w:val="27"/>
              <w:spacing w:line="200" w:lineRule="exact"/>
              <w:jc w:val="center"/>
              <w:rPr>
                <w:rFonts w:ascii="仿宋" w:hAnsi="仿宋" w:eastAsia="仿宋"/>
                <w:sz w:val="15"/>
                <w:szCs w:val="15"/>
              </w:rPr>
            </w:pPr>
            <w:r>
              <w:rPr>
                <w:rFonts w:hint="eastAsia" w:ascii="仿宋" w:hAnsi="仿宋" w:eastAsia="仿宋"/>
                <w:sz w:val="15"/>
                <w:szCs w:val="15"/>
              </w:rPr>
              <w:t>全国汽车销量增长率（</w:t>
            </w:r>
            <w:r>
              <w:rPr>
                <w:rFonts w:ascii="仿宋" w:hAnsi="仿宋" w:eastAsia="仿宋"/>
                <w:sz w:val="15"/>
                <w:szCs w:val="15"/>
              </w:rPr>
              <w:t>%</w:t>
            </w:r>
            <w:r>
              <w:rPr>
                <w:rFonts w:hint="eastAsia" w:ascii="仿宋" w:hAnsi="仿宋" w:eastAsia="仿宋"/>
                <w:sz w:val="15"/>
                <w:szCs w:val="15"/>
              </w:rPr>
              <w:t>）</w:t>
            </w:r>
          </w:p>
        </w:tc>
        <w:tc>
          <w:tcPr>
            <w:tcW w:w="695" w:type="dxa"/>
            <w:tcBorders>
              <w:tl2br w:val="nil"/>
              <w:tr2bl w:val="nil"/>
            </w:tcBorders>
            <w:shd w:val="clear" w:color="auto" w:fill="auto"/>
            <w:tcMar>
              <w:top w:w="15" w:type="dxa"/>
              <w:left w:w="15" w:type="dxa"/>
              <w:right w:w="15" w:type="dxa"/>
            </w:tcMar>
            <w:vAlign w:val="center"/>
          </w:tcPr>
          <w:p>
            <w:pPr>
              <w:pStyle w:val="27"/>
              <w:spacing w:line="200" w:lineRule="exact"/>
              <w:jc w:val="center"/>
              <w:rPr>
                <w:sz w:val="15"/>
                <w:szCs w:val="15"/>
              </w:rPr>
            </w:pPr>
            <w:r>
              <w:rPr>
                <w:sz w:val="15"/>
                <w:szCs w:val="15"/>
              </w:rPr>
              <w:t>-</w:t>
            </w:r>
            <w:r>
              <w:rPr>
                <w:rFonts w:hint="eastAsia"/>
                <w:sz w:val="15"/>
                <w:szCs w:val="15"/>
              </w:rPr>
              <w:t>1.9</w:t>
            </w:r>
          </w:p>
        </w:tc>
        <w:tc>
          <w:tcPr>
            <w:tcW w:w="542" w:type="dxa"/>
            <w:tcBorders>
              <w:tl2br w:val="nil"/>
              <w:tr2bl w:val="nil"/>
            </w:tcBorders>
            <w:shd w:val="clear" w:color="auto" w:fill="auto"/>
            <w:tcMar>
              <w:top w:w="15" w:type="dxa"/>
              <w:left w:w="15" w:type="dxa"/>
              <w:right w:w="15" w:type="dxa"/>
            </w:tcMar>
            <w:vAlign w:val="center"/>
          </w:tcPr>
          <w:p>
            <w:pPr>
              <w:pStyle w:val="27"/>
              <w:spacing w:line="200" w:lineRule="exact"/>
              <w:jc w:val="center"/>
              <w:rPr>
                <w:sz w:val="15"/>
                <w:szCs w:val="15"/>
              </w:rPr>
            </w:pPr>
            <w:r>
              <w:rPr>
                <w:rFonts w:hint="eastAsia"/>
                <w:sz w:val="15"/>
                <w:szCs w:val="15"/>
              </w:rPr>
              <w:t>-8.2</w:t>
            </w:r>
          </w:p>
        </w:tc>
        <w:tc>
          <w:tcPr>
            <w:tcW w:w="542" w:type="dxa"/>
            <w:tcBorders>
              <w:tl2br w:val="nil"/>
              <w:tr2bl w:val="nil"/>
            </w:tcBorders>
            <w:shd w:val="clear" w:color="auto" w:fill="auto"/>
            <w:tcMar>
              <w:top w:w="15" w:type="dxa"/>
              <w:left w:w="15" w:type="dxa"/>
              <w:right w:w="15" w:type="dxa"/>
            </w:tcMar>
            <w:vAlign w:val="center"/>
          </w:tcPr>
          <w:p>
            <w:pPr>
              <w:pStyle w:val="27"/>
              <w:spacing w:line="200" w:lineRule="exact"/>
              <w:jc w:val="center"/>
              <w:rPr>
                <w:sz w:val="15"/>
                <w:szCs w:val="15"/>
              </w:rPr>
            </w:pPr>
            <w:r>
              <w:rPr>
                <w:rFonts w:hint="eastAsia"/>
                <w:sz w:val="15"/>
                <w:szCs w:val="15"/>
              </w:rPr>
              <w:t>-2.7</w:t>
            </w:r>
          </w:p>
        </w:tc>
        <w:tc>
          <w:tcPr>
            <w:tcW w:w="530" w:type="dxa"/>
            <w:tcBorders>
              <w:tl2br w:val="nil"/>
              <w:tr2bl w:val="nil"/>
            </w:tcBorders>
            <w:shd w:val="clear" w:color="auto" w:fill="auto"/>
            <w:tcMar>
              <w:top w:w="15" w:type="dxa"/>
              <w:left w:w="15" w:type="dxa"/>
              <w:right w:w="15" w:type="dxa"/>
            </w:tcMar>
            <w:vAlign w:val="center"/>
          </w:tcPr>
          <w:p>
            <w:pPr>
              <w:pStyle w:val="27"/>
              <w:spacing w:line="200" w:lineRule="exact"/>
              <w:jc w:val="center"/>
              <w:rPr>
                <w:sz w:val="15"/>
                <w:szCs w:val="15"/>
              </w:rPr>
            </w:pPr>
            <w:r>
              <w:rPr>
                <w:rFonts w:hint="eastAsia"/>
                <w:sz w:val="15"/>
                <w:szCs w:val="15"/>
              </w:rPr>
              <w:t>3.0</w:t>
            </w:r>
          </w:p>
        </w:tc>
        <w:tc>
          <w:tcPr>
            <w:tcW w:w="530" w:type="dxa"/>
            <w:tcBorders>
              <w:tl2br w:val="nil"/>
              <w:tr2bl w:val="nil"/>
            </w:tcBorders>
            <w:shd w:val="clear" w:color="auto" w:fill="auto"/>
            <w:tcMar>
              <w:top w:w="15" w:type="dxa"/>
              <w:left w:w="15" w:type="dxa"/>
              <w:right w:w="15" w:type="dxa"/>
            </w:tcMar>
            <w:vAlign w:val="center"/>
          </w:tcPr>
          <w:p>
            <w:pPr>
              <w:pStyle w:val="27"/>
              <w:spacing w:line="200" w:lineRule="exact"/>
              <w:jc w:val="center"/>
              <w:rPr>
                <w:sz w:val="15"/>
                <w:szCs w:val="15"/>
              </w:rPr>
            </w:pPr>
            <w:r>
              <w:rPr>
                <w:rFonts w:hint="eastAsia"/>
                <w:sz w:val="15"/>
                <w:szCs w:val="15"/>
              </w:rPr>
              <w:t>13.9</w:t>
            </w:r>
          </w:p>
        </w:tc>
        <w:tc>
          <w:tcPr>
            <w:tcW w:w="530" w:type="dxa"/>
            <w:tcBorders>
              <w:tl2br w:val="nil"/>
              <w:tr2bl w:val="nil"/>
            </w:tcBorders>
            <w:shd w:val="clear" w:color="auto" w:fill="auto"/>
            <w:tcMar>
              <w:top w:w="15" w:type="dxa"/>
              <w:left w:w="15" w:type="dxa"/>
              <w:right w:w="15" w:type="dxa"/>
            </w:tcMar>
            <w:vAlign w:val="center"/>
          </w:tcPr>
          <w:p>
            <w:pPr>
              <w:pStyle w:val="27"/>
              <w:spacing w:line="200" w:lineRule="exact"/>
              <w:jc w:val="center"/>
              <w:rPr>
                <w:sz w:val="15"/>
                <w:szCs w:val="15"/>
              </w:rPr>
            </w:pPr>
            <w:r>
              <w:rPr>
                <w:rFonts w:hint="eastAsia"/>
                <w:sz w:val="15"/>
                <w:szCs w:val="15"/>
              </w:rPr>
              <w:t>4.7</w:t>
            </w:r>
          </w:p>
        </w:tc>
        <w:tc>
          <w:tcPr>
            <w:tcW w:w="530" w:type="dxa"/>
            <w:tcBorders>
              <w:tl2br w:val="nil"/>
              <w:tr2bl w:val="nil"/>
            </w:tcBorders>
            <w:shd w:val="clear" w:color="auto" w:fill="auto"/>
            <w:tcMar>
              <w:top w:w="15" w:type="dxa"/>
              <w:left w:w="15" w:type="dxa"/>
              <w:right w:w="15" w:type="dxa"/>
            </w:tcMar>
            <w:vAlign w:val="center"/>
          </w:tcPr>
          <w:p>
            <w:pPr>
              <w:pStyle w:val="27"/>
              <w:spacing w:line="200" w:lineRule="exact"/>
              <w:jc w:val="center"/>
              <w:rPr>
                <w:sz w:val="15"/>
                <w:szCs w:val="15"/>
              </w:rPr>
            </w:pPr>
            <w:r>
              <w:rPr>
                <w:rFonts w:hint="eastAsia"/>
                <w:sz w:val="15"/>
                <w:szCs w:val="15"/>
              </w:rPr>
              <w:t>6.8</w:t>
            </w:r>
          </w:p>
        </w:tc>
        <w:tc>
          <w:tcPr>
            <w:tcW w:w="530" w:type="dxa"/>
            <w:tcBorders>
              <w:tl2br w:val="nil"/>
              <w:tr2bl w:val="nil"/>
            </w:tcBorders>
            <w:shd w:val="clear" w:color="auto" w:fill="auto"/>
            <w:tcMar>
              <w:top w:w="15" w:type="dxa"/>
              <w:left w:w="15" w:type="dxa"/>
              <w:right w:w="15" w:type="dxa"/>
            </w:tcMar>
            <w:vAlign w:val="center"/>
          </w:tcPr>
          <w:p>
            <w:pPr>
              <w:pStyle w:val="27"/>
              <w:spacing w:line="200" w:lineRule="exact"/>
              <w:jc w:val="center"/>
              <w:rPr>
                <w:sz w:val="15"/>
                <w:szCs w:val="15"/>
              </w:rPr>
            </w:pPr>
            <w:r>
              <w:rPr>
                <w:rFonts w:hint="eastAsia"/>
                <w:sz w:val="15"/>
                <w:szCs w:val="15"/>
              </w:rPr>
              <w:t>13.8</w:t>
            </w:r>
          </w:p>
        </w:tc>
        <w:tc>
          <w:tcPr>
            <w:tcW w:w="530" w:type="dxa"/>
            <w:tcBorders>
              <w:tl2br w:val="nil"/>
              <w:tr2bl w:val="nil"/>
            </w:tcBorders>
            <w:shd w:val="clear" w:color="auto" w:fill="auto"/>
            <w:tcMar>
              <w:top w:w="15" w:type="dxa"/>
              <w:left w:w="15" w:type="dxa"/>
              <w:right w:w="15" w:type="dxa"/>
            </w:tcMar>
            <w:vAlign w:val="center"/>
          </w:tcPr>
          <w:p>
            <w:pPr>
              <w:pStyle w:val="27"/>
              <w:spacing w:line="200" w:lineRule="exact"/>
              <w:jc w:val="center"/>
              <w:rPr>
                <w:sz w:val="15"/>
                <w:szCs w:val="15"/>
              </w:rPr>
            </w:pPr>
            <w:r>
              <w:rPr>
                <w:rFonts w:hint="eastAsia"/>
                <w:sz w:val="15"/>
                <w:szCs w:val="15"/>
              </w:rPr>
              <w:t>4.3</w:t>
            </w:r>
          </w:p>
        </w:tc>
        <w:tc>
          <w:tcPr>
            <w:tcW w:w="530" w:type="dxa"/>
            <w:tcBorders>
              <w:tl2br w:val="nil"/>
              <w:tr2bl w:val="nil"/>
            </w:tcBorders>
            <w:shd w:val="clear" w:color="auto" w:fill="auto"/>
            <w:tcMar>
              <w:top w:w="15" w:type="dxa"/>
              <w:left w:w="15" w:type="dxa"/>
              <w:right w:w="15" w:type="dxa"/>
            </w:tcMar>
            <w:vAlign w:val="center"/>
          </w:tcPr>
          <w:p>
            <w:pPr>
              <w:pStyle w:val="27"/>
              <w:spacing w:line="200" w:lineRule="exact"/>
              <w:jc w:val="center"/>
              <w:rPr>
                <w:sz w:val="15"/>
                <w:szCs w:val="15"/>
              </w:rPr>
            </w:pPr>
            <w:r>
              <w:rPr>
                <w:rFonts w:hint="eastAsia"/>
                <w:sz w:val="15"/>
                <w:szCs w:val="15"/>
              </w:rPr>
              <w:t>2.4</w:t>
            </w:r>
          </w:p>
        </w:tc>
        <w:tc>
          <w:tcPr>
            <w:tcW w:w="530" w:type="dxa"/>
            <w:tcBorders>
              <w:tl2br w:val="nil"/>
              <w:tr2bl w:val="nil"/>
            </w:tcBorders>
            <w:shd w:val="clear" w:color="auto" w:fill="auto"/>
            <w:tcMar>
              <w:top w:w="15" w:type="dxa"/>
              <w:left w:w="15" w:type="dxa"/>
              <w:right w:w="15" w:type="dxa"/>
            </w:tcMar>
            <w:vAlign w:val="center"/>
          </w:tcPr>
          <w:p>
            <w:pPr>
              <w:pStyle w:val="27"/>
              <w:spacing w:line="200" w:lineRule="exact"/>
              <w:jc w:val="center"/>
              <w:rPr>
                <w:sz w:val="15"/>
                <w:szCs w:val="15"/>
              </w:rPr>
            </w:pPr>
            <w:r>
              <w:rPr>
                <w:rFonts w:hint="eastAsia"/>
                <w:sz w:val="15"/>
                <w:szCs w:val="15"/>
              </w:rPr>
              <w:t>32.3</w:t>
            </w:r>
          </w:p>
        </w:tc>
        <w:tc>
          <w:tcPr>
            <w:tcW w:w="522" w:type="dxa"/>
            <w:tcBorders>
              <w:tl2br w:val="nil"/>
              <w:tr2bl w:val="nil"/>
            </w:tcBorders>
            <w:shd w:val="clear" w:color="auto" w:fill="auto"/>
            <w:tcMar>
              <w:top w:w="15" w:type="dxa"/>
              <w:left w:w="15" w:type="dxa"/>
              <w:right w:w="15" w:type="dxa"/>
            </w:tcMar>
            <w:vAlign w:val="center"/>
          </w:tcPr>
          <w:p>
            <w:pPr>
              <w:pStyle w:val="27"/>
              <w:spacing w:line="200" w:lineRule="exact"/>
              <w:jc w:val="center"/>
              <w:rPr>
                <w:sz w:val="15"/>
                <w:szCs w:val="15"/>
              </w:rPr>
            </w:pPr>
            <w:r>
              <w:rPr>
                <w:rFonts w:hint="eastAsia"/>
                <w:sz w:val="15"/>
                <w:szCs w:val="15"/>
              </w:rPr>
              <w:t>45.4</w:t>
            </w:r>
          </w:p>
        </w:tc>
      </w:tr>
    </w:tbl>
    <w:p>
      <w:pPr>
        <w:pStyle w:val="2"/>
      </w:pPr>
    </w:p>
    <w:p>
      <w:r>
        <w:drawing>
          <wp:inline distT="0" distB="0" distL="0" distR="0">
            <wp:extent cx="5024755" cy="2146300"/>
            <wp:effectExtent l="0" t="0" r="0" b="0"/>
            <wp:docPr id="78" name="图表 7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adjustRightInd w:val="0"/>
        <w:snapToGrid w:val="0"/>
        <w:spacing w:afterLines="50" w:line="580" w:lineRule="exact"/>
        <w:jc w:val="center"/>
        <w:rPr>
          <w:rFonts w:ascii="Times New Roman" w:hAnsi="Times New Roman" w:eastAsia="仿宋_GB2312" w:cs="Times New Roman"/>
          <w:b/>
          <w:bCs/>
          <w:sz w:val="24"/>
        </w:rPr>
      </w:pPr>
      <w:r>
        <w:rPr>
          <w:rFonts w:ascii="Times New Roman" w:hAnsi="Times New Roman" w:eastAsia="仿宋_GB2312" w:cs="Times New Roman"/>
          <w:b/>
          <w:bCs/>
          <w:sz w:val="24"/>
        </w:rPr>
        <w:t>图</w:t>
      </w:r>
      <w:r>
        <w:rPr>
          <w:rFonts w:hint="eastAsia" w:ascii="Times New Roman" w:hAnsi="Times New Roman" w:eastAsia="仿宋_GB2312" w:cs="Times New Roman"/>
          <w:b/>
          <w:bCs/>
          <w:sz w:val="24"/>
        </w:rPr>
        <w:t xml:space="preserve">8  </w:t>
      </w:r>
      <w:r>
        <w:rPr>
          <w:rFonts w:ascii="Times New Roman" w:hAnsi="Times New Roman" w:eastAsia="仿宋_GB2312" w:cs="Times New Roman"/>
          <w:b/>
          <w:bCs/>
          <w:sz w:val="24"/>
        </w:rPr>
        <w:t>2009</w:t>
      </w:r>
      <w:r>
        <w:rPr>
          <w:rFonts w:hint="eastAsia" w:ascii="Times New Roman" w:hAnsi="Times New Roman" w:eastAsia="仿宋_GB2312" w:cs="Times New Roman"/>
          <w:b/>
          <w:bCs/>
          <w:sz w:val="24"/>
        </w:rPr>
        <w:t>-</w:t>
      </w:r>
      <w:r>
        <w:rPr>
          <w:rFonts w:ascii="Times New Roman" w:hAnsi="Times New Roman" w:eastAsia="仿宋_GB2312" w:cs="Times New Roman"/>
          <w:b/>
          <w:bCs/>
          <w:sz w:val="24"/>
        </w:rPr>
        <w:t>2020年全国汽车销量（万辆）</w:t>
      </w:r>
    </w:p>
    <w:p>
      <w:pPr>
        <w:pStyle w:val="2"/>
      </w:pPr>
      <w:r>
        <w:drawing>
          <wp:inline distT="0" distB="0" distL="0" distR="0">
            <wp:extent cx="4523740" cy="2059305"/>
            <wp:effectExtent l="0" t="0" r="0" b="0"/>
            <wp:docPr id="79" name="图表 7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pPr>
        <w:adjustRightInd w:val="0"/>
        <w:snapToGrid w:val="0"/>
        <w:spacing w:afterLines="50" w:line="580" w:lineRule="exact"/>
        <w:jc w:val="center"/>
        <w:rPr>
          <w:rFonts w:ascii="Times New Roman" w:hAnsi="Times New Roman" w:eastAsia="仿宋_GB2312" w:cs="Times New Roman"/>
          <w:b/>
          <w:bCs/>
          <w:sz w:val="24"/>
        </w:rPr>
      </w:pPr>
      <w:r>
        <w:rPr>
          <w:rFonts w:ascii="Times New Roman" w:hAnsi="Times New Roman" w:eastAsia="仿宋_GB2312" w:cs="Times New Roman"/>
          <w:b/>
          <w:bCs/>
          <w:sz w:val="24"/>
        </w:rPr>
        <w:t>图</w:t>
      </w:r>
      <w:r>
        <w:rPr>
          <w:rFonts w:hint="eastAsia" w:ascii="Times New Roman" w:hAnsi="Times New Roman" w:eastAsia="仿宋_GB2312" w:cs="Times New Roman"/>
          <w:b/>
          <w:bCs/>
          <w:sz w:val="24"/>
        </w:rPr>
        <w:t xml:space="preserve">9  </w:t>
      </w:r>
      <w:r>
        <w:rPr>
          <w:rFonts w:ascii="Times New Roman" w:hAnsi="Times New Roman" w:eastAsia="仿宋_GB2312" w:cs="Times New Roman"/>
          <w:b/>
          <w:bCs/>
          <w:sz w:val="24"/>
        </w:rPr>
        <w:t>2009</w:t>
      </w:r>
      <w:r>
        <w:rPr>
          <w:rFonts w:hint="eastAsia" w:ascii="Times New Roman" w:hAnsi="Times New Roman" w:eastAsia="仿宋_GB2312" w:cs="Times New Roman"/>
          <w:b/>
          <w:bCs/>
          <w:sz w:val="24"/>
        </w:rPr>
        <w:t>-</w:t>
      </w:r>
      <w:r>
        <w:rPr>
          <w:rFonts w:ascii="Times New Roman" w:hAnsi="Times New Roman" w:eastAsia="仿宋_GB2312" w:cs="Times New Roman"/>
          <w:b/>
          <w:bCs/>
          <w:sz w:val="24"/>
        </w:rPr>
        <w:t>2020年全国汽车销量增长率（%）</w:t>
      </w:r>
    </w:p>
    <w:p>
      <w:pPr>
        <w:pStyle w:val="2"/>
        <w:spacing w:line="580" w:lineRule="exact"/>
        <w:ind w:firstLine="640"/>
        <w:rPr>
          <w:rFonts w:eastAsia="仿宋_GB2312"/>
          <w:sz w:val="32"/>
          <w:szCs w:val="32"/>
        </w:rPr>
      </w:pPr>
      <w:r>
        <w:rPr>
          <w:rFonts w:hint="eastAsia" w:eastAsia="仿宋_GB2312"/>
          <w:sz w:val="32"/>
          <w:szCs w:val="32"/>
        </w:rPr>
        <w:t>国内汽车销量在2017年达到顶峰，近几年处于缓慢下降阶段，在疫情的负面影响下2020年汽车销量为2531万辆，与2019年相比降幅缩减到1.9%，显示了较强的汽车消费活力。根据权威机构分析预测，国内汽车消费仍然有一定发展潜力，“十四五”期间汽车销量增长率预计将保持1.5%-2%区间，将2021-2025年汽车销量增长率设定为1.5%、1.5%、1.5%、2%、2%。</w:t>
      </w:r>
    </w:p>
    <w:p>
      <w:pPr>
        <w:adjustRightInd w:val="0"/>
        <w:snapToGrid w:val="0"/>
        <w:spacing w:beforeLines="50" w:line="580" w:lineRule="exact"/>
        <w:jc w:val="center"/>
        <w:rPr>
          <w:rFonts w:ascii="Times New Roman" w:hAnsi="Times New Roman" w:eastAsia="仿宋_GB2312" w:cs="Times New Roman"/>
          <w:b/>
          <w:bCs/>
          <w:sz w:val="24"/>
        </w:rPr>
      </w:pPr>
      <w:r>
        <w:rPr>
          <w:rFonts w:hint="eastAsia" w:ascii="Times New Roman" w:hAnsi="Times New Roman" w:eastAsia="仿宋_GB2312" w:cs="Times New Roman"/>
          <w:b/>
          <w:bCs/>
          <w:sz w:val="24"/>
        </w:rPr>
        <w:t>表</w:t>
      </w:r>
      <w:r>
        <w:rPr>
          <w:rFonts w:ascii="Times New Roman" w:hAnsi="Times New Roman" w:eastAsia="仿宋_GB2312" w:cs="Times New Roman"/>
          <w:b/>
          <w:bCs/>
          <w:sz w:val="24"/>
        </w:rPr>
        <w:t>7</w:t>
      </w:r>
      <w:r>
        <w:rPr>
          <w:rFonts w:hint="eastAsia" w:ascii="Times New Roman" w:hAnsi="Times New Roman" w:eastAsia="仿宋_GB2312" w:cs="Times New Roman"/>
          <w:b/>
          <w:bCs/>
          <w:sz w:val="24"/>
        </w:rPr>
        <w:t xml:space="preserve">  全国汽车“十四五”年销量预测（万辆）</w:t>
      </w:r>
    </w:p>
    <w:tbl>
      <w:tblPr>
        <w:tblStyle w:val="17"/>
        <w:tblW w:w="83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856"/>
        <w:gridCol w:w="1279"/>
        <w:gridCol w:w="1277"/>
        <w:gridCol w:w="1225"/>
        <w:gridCol w:w="1350"/>
        <w:gridCol w:w="13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1856" w:type="dxa"/>
            <w:tcBorders>
              <w:tl2br w:val="nil"/>
              <w:tr2bl w:val="nil"/>
            </w:tcBorders>
            <w:shd w:val="clear" w:color="auto" w:fill="auto"/>
            <w:tcMar>
              <w:top w:w="15" w:type="dxa"/>
              <w:left w:w="15" w:type="dxa"/>
              <w:right w:w="15" w:type="dxa"/>
            </w:tcMar>
            <w:vAlign w:val="center"/>
          </w:tcPr>
          <w:p>
            <w:pPr>
              <w:pStyle w:val="27"/>
              <w:spacing w:line="200" w:lineRule="exact"/>
              <w:jc w:val="center"/>
              <w:rPr>
                <w:rFonts w:ascii="仿宋" w:hAnsi="仿宋" w:eastAsia="仿宋"/>
                <w:sz w:val="18"/>
                <w:szCs w:val="18"/>
              </w:rPr>
            </w:pPr>
            <w:r>
              <w:rPr>
                <w:rFonts w:hint="eastAsia" w:ascii="仿宋" w:hAnsi="仿宋" w:eastAsia="仿宋"/>
                <w:sz w:val="18"/>
                <w:szCs w:val="18"/>
              </w:rPr>
              <w:t>年份</w:t>
            </w:r>
          </w:p>
        </w:tc>
        <w:tc>
          <w:tcPr>
            <w:tcW w:w="1279" w:type="dxa"/>
            <w:tcBorders>
              <w:tl2br w:val="nil"/>
              <w:tr2bl w:val="nil"/>
            </w:tcBorders>
            <w:shd w:val="clear" w:color="auto" w:fill="auto"/>
            <w:tcMar>
              <w:top w:w="15" w:type="dxa"/>
              <w:left w:w="15" w:type="dxa"/>
              <w:right w:w="15" w:type="dxa"/>
            </w:tcMar>
            <w:vAlign w:val="center"/>
          </w:tcPr>
          <w:p>
            <w:pPr>
              <w:pStyle w:val="27"/>
              <w:spacing w:line="200" w:lineRule="exact"/>
              <w:jc w:val="center"/>
              <w:rPr>
                <w:sz w:val="18"/>
                <w:szCs w:val="18"/>
              </w:rPr>
            </w:pPr>
            <w:r>
              <w:rPr>
                <w:sz w:val="18"/>
                <w:szCs w:val="18"/>
              </w:rPr>
              <w:t>2021</w:t>
            </w:r>
          </w:p>
        </w:tc>
        <w:tc>
          <w:tcPr>
            <w:tcW w:w="1277" w:type="dxa"/>
            <w:tcBorders>
              <w:tl2br w:val="nil"/>
              <w:tr2bl w:val="nil"/>
            </w:tcBorders>
            <w:shd w:val="clear" w:color="auto" w:fill="auto"/>
            <w:tcMar>
              <w:top w:w="15" w:type="dxa"/>
              <w:left w:w="15" w:type="dxa"/>
              <w:right w:w="15" w:type="dxa"/>
            </w:tcMar>
            <w:vAlign w:val="center"/>
          </w:tcPr>
          <w:p>
            <w:pPr>
              <w:pStyle w:val="27"/>
              <w:spacing w:line="200" w:lineRule="exact"/>
              <w:jc w:val="center"/>
              <w:rPr>
                <w:sz w:val="18"/>
                <w:szCs w:val="18"/>
              </w:rPr>
            </w:pPr>
            <w:r>
              <w:rPr>
                <w:sz w:val="18"/>
                <w:szCs w:val="18"/>
              </w:rPr>
              <w:t>2022</w:t>
            </w:r>
          </w:p>
        </w:tc>
        <w:tc>
          <w:tcPr>
            <w:tcW w:w="1225" w:type="dxa"/>
            <w:tcBorders>
              <w:tl2br w:val="nil"/>
              <w:tr2bl w:val="nil"/>
            </w:tcBorders>
            <w:shd w:val="clear" w:color="auto" w:fill="auto"/>
            <w:tcMar>
              <w:top w:w="15" w:type="dxa"/>
              <w:left w:w="15" w:type="dxa"/>
              <w:right w:w="15" w:type="dxa"/>
            </w:tcMar>
            <w:vAlign w:val="center"/>
          </w:tcPr>
          <w:p>
            <w:pPr>
              <w:pStyle w:val="27"/>
              <w:spacing w:line="200" w:lineRule="exact"/>
              <w:jc w:val="center"/>
              <w:rPr>
                <w:sz w:val="18"/>
                <w:szCs w:val="18"/>
              </w:rPr>
            </w:pPr>
            <w:r>
              <w:rPr>
                <w:sz w:val="18"/>
                <w:szCs w:val="18"/>
              </w:rPr>
              <w:t>2023</w:t>
            </w:r>
          </w:p>
        </w:tc>
        <w:tc>
          <w:tcPr>
            <w:tcW w:w="1350" w:type="dxa"/>
            <w:tcBorders>
              <w:tl2br w:val="nil"/>
              <w:tr2bl w:val="nil"/>
            </w:tcBorders>
            <w:shd w:val="clear" w:color="auto" w:fill="auto"/>
            <w:tcMar>
              <w:top w:w="15" w:type="dxa"/>
              <w:left w:w="15" w:type="dxa"/>
              <w:right w:w="15" w:type="dxa"/>
            </w:tcMar>
            <w:vAlign w:val="center"/>
          </w:tcPr>
          <w:p>
            <w:pPr>
              <w:pStyle w:val="27"/>
              <w:spacing w:line="200" w:lineRule="exact"/>
              <w:jc w:val="center"/>
              <w:rPr>
                <w:sz w:val="18"/>
                <w:szCs w:val="18"/>
              </w:rPr>
            </w:pPr>
            <w:r>
              <w:rPr>
                <w:sz w:val="18"/>
                <w:szCs w:val="18"/>
              </w:rPr>
              <w:t>2024</w:t>
            </w:r>
          </w:p>
        </w:tc>
        <w:tc>
          <w:tcPr>
            <w:tcW w:w="1349" w:type="dxa"/>
            <w:tcBorders>
              <w:tl2br w:val="nil"/>
              <w:tr2bl w:val="nil"/>
            </w:tcBorders>
            <w:shd w:val="clear" w:color="auto" w:fill="auto"/>
            <w:tcMar>
              <w:top w:w="15" w:type="dxa"/>
              <w:left w:w="15" w:type="dxa"/>
              <w:right w:w="15" w:type="dxa"/>
            </w:tcMar>
            <w:vAlign w:val="center"/>
          </w:tcPr>
          <w:p>
            <w:pPr>
              <w:pStyle w:val="27"/>
              <w:spacing w:line="200" w:lineRule="exact"/>
              <w:jc w:val="center"/>
              <w:rPr>
                <w:sz w:val="18"/>
                <w:szCs w:val="18"/>
              </w:rPr>
            </w:pPr>
            <w:r>
              <w:rPr>
                <w:sz w:val="18"/>
                <w:szCs w:val="18"/>
              </w:rPr>
              <w:t>2025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1856" w:type="dxa"/>
            <w:tcBorders>
              <w:tl2br w:val="nil"/>
              <w:tr2bl w:val="nil"/>
            </w:tcBorders>
            <w:shd w:val="clear" w:color="auto" w:fill="auto"/>
            <w:tcMar>
              <w:top w:w="15" w:type="dxa"/>
              <w:left w:w="15" w:type="dxa"/>
              <w:right w:w="15" w:type="dxa"/>
            </w:tcMar>
            <w:vAlign w:val="center"/>
          </w:tcPr>
          <w:p>
            <w:pPr>
              <w:pStyle w:val="27"/>
              <w:spacing w:line="200" w:lineRule="exact"/>
              <w:jc w:val="center"/>
              <w:rPr>
                <w:rFonts w:ascii="仿宋" w:hAnsi="仿宋" w:eastAsia="仿宋"/>
                <w:sz w:val="18"/>
                <w:szCs w:val="18"/>
              </w:rPr>
            </w:pPr>
            <w:r>
              <w:rPr>
                <w:rFonts w:hint="eastAsia" w:ascii="仿宋" w:hAnsi="仿宋" w:eastAsia="仿宋"/>
                <w:sz w:val="18"/>
                <w:szCs w:val="18"/>
              </w:rPr>
              <w:t>预计销量</w:t>
            </w:r>
          </w:p>
        </w:tc>
        <w:tc>
          <w:tcPr>
            <w:tcW w:w="1279" w:type="dxa"/>
            <w:tcBorders>
              <w:tl2br w:val="nil"/>
              <w:tr2bl w:val="nil"/>
            </w:tcBorders>
            <w:shd w:val="clear" w:color="auto" w:fill="auto"/>
            <w:tcMar>
              <w:top w:w="15" w:type="dxa"/>
              <w:left w:w="15" w:type="dxa"/>
              <w:right w:w="15" w:type="dxa"/>
            </w:tcMar>
            <w:vAlign w:val="center"/>
          </w:tcPr>
          <w:p>
            <w:pPr>
              <w:pStyle w:val="27"/>
              <w:spacing w:line="200" w:lineRule="exact"/>
              <w:jc w:val="center"/>
              <w:rPr>
                <w:sz w:val="18"/>
                <w:szCs w:val="18"/>
              </w:rPr>
            </w:pPr>
            <w:r>
              <w:rPr>
                <w:sz w:val="18"/>
                <w:szCs w:val="18"/>
              </w:rPr>
              <w:t>2568</w:t>
            </w:r>
          </w:p>
        </w:tc>
        <w:tc>
          <w:tcPr>
            <w:tcW w:w="1277" w:type="dxa"/>
            <w:tcBorders>
              <w:tl2br w:val="nil"/>
              <w:tr2bl w:val="nil"/>
            </w:tcBorders>
            <w:shd w:val="clear" w:color="auto" w:fill="auto"/>
            <w:tcMar>
              <w:top w:w="15" w:type="dxa"/>
              <w:left w:w="15" w:type="dxa"/>
              <w:right w:w="15" w:type="dxa"/>
            </w:tcMar>
            <w:vAlign w:val="center"/>
          </w:tcPr>
          <w:p>
            <w:pPr>
              <w:pStyle w:val="27"/>
              <w:spacing w:line="200" w:lineRule="exact"/>
              <w:jc w:val="center"/>
              <w:rPr>
                <w:sz w:val="18"/>
                <w:szCs w:val="18"/>
              </w:rPr>
            </w:pPr>
            <w:r>
              <w:rPr>
                <w:sz w:val="18"/>
                <w:szCs w:val="18"/>
              </w:rPr>
              <w:t>2607</w:t>
            </w:r>
          </w:p>
        </w:tc>
        <w:tc>
          <w:tcPr>
            <w:tcW w:w="1225" w:type="dxa"/>
            <w:tcBorders>
              <w:tl2br w:val="nil"/>
              <w:tr2bl w:val="nil"/>
            </w:tcBorders>
            <w:shd w:val="clear" w:color="auto" w:fill="auto"/>
            <w:tcMar>
              <w:top w:w="15" w:type="dxa"/>
              <w:left w:w="15" w:type="dxa"/>
              <w:right w:w="15" w:type="dxa"/>
            </w:tcMar>
            <w:vAlign w:val="center"/>
          </w:tcPr>
          <w:p>
            <w:pPr>
              <w:pStyle w:val="27"/>
              <w:spacing w:line="200" w:lineRule="exact"/>
              <w:jc w:val="center"/>
              <w:rPr>
                <w:sz w:val="18"/>
                <w:szCs w:val="18"/>
              </w:rPr>
            </w:pPr>
            <w:r>
              <w:rPr>
                <w:sz w:val="18"/>
                <w:szCs w:val="18"/>
              </w:rPr>
              <w:t>2646</w:t>
            </w:r>
          </w:p>
        </w:tc>
        <w:tc>
          <w:tcPr>
            <w:tcW w:w="1350" w:type="dxa"/>
            <w:tcBorders>
              <w:tl2br w:val="nil"/>
              <w:tr2bl w:val="nil"/>
            </w:tcBorders>
            <w:shd w:val="clear" w:color="auto" w:fill="auto"/>
            <w:tcMar>
              <w:top w:w="15" w:type="dxa"/>
              <w:left w:w="15" w:type="dxa"/>
              <w:right w:w="15" w:type="dxa"/>
            </w:tcMar>
            <w:vAlign w:val="center"/>
          </w:tcPr>
          <w:p>
            <w:pPr>
              <w:pStyle w:val="27"/>
              <w:spacing w:line="200" w:lineRule="exact"/>
              <w:jc w:val="center"/>
              <w:rPr>
                <w:sz w:val="18"/>
                <w:szCs w:val="18"/>
              </w:rPr>
            </w:pPr>
            <w:r>
              <w:rPr>
                <w:sz w:val="18"/>
                <w:szCs w:val="18"/>
              </w:rPr>
              <w:t>2699</w:t>
            </w:r>
          </w:p>
        </w:tc>
        <w:tc>
          <w:tcPr>
            <w:tcW w:w="1349" w:type="dxa"/>
            <w:tcBorders>
              <w:tl2br w:val="nil"/>
              <w:tr2bl w:val="nil"/>
            </w:tcBorders>
            <w:shd w:val="clear" w:color="auto" w:fill="auto"/>
            <w:tcMar>
              <w:top w:w="15" w:type="dxa"/>
              <w:left w:w="15" w:type="dxa"/>
              <w:right w:w="15" w:type="dxa"/>
            </w:tcMar>
            <w:vAlign w:val="center"/>
          </w:tcPr>
          <w:p>
            <w:pPr>
              <w:pStyle w:val="27"/>
              <w:spacing w:line="200" w:lineRule="exact"/>
              <w:jc w:val="center"/>
              <w:rPr>
                <w:sz w:val="18"/>
                <w:szCs w:val="18"/>
              </w:rPr>
            </w:pPr>
            <w:r>
              <w:rPr>
                <w:sz w:val="18"/>
                <w:szCs w:val="18"/>
              </w:rPr>
              <w:t>2753</w:t>
            </w:r>
          </w:p>
        </w:tc>
      </w:tr>
    </w:tbl>
    <w:p>
      <w:pPr>
        <w:pStyle w:val="2"/>
        <w:ind w:firstLine="0" w:firstLineChars="0"/>
        <w:jc w:val="center"/>
        <w:rPr>
          <w:rFonts w:eastAsia="仿宋_GB2312"/>
          <w:b/>
          <w:bCs/>
          <w:sz w:val="24"/>
        </w:rPr>
      </w:pPr>
    </w:p>
    <w:p>
      <w:pPr>
        <w:pStyle w:val="2"/>
        <w:spacing w:afterLines="50"/>
        <w:ind w:firstLine="0" w:firstLineChars="0"/>
        <w:jc w:val="center"/>
        <w:rPr>
          <w:rFonts w:eastAsia="仿宋_GB2312"/>
          <w:b/>
          <w:bCs/>
          <w:sz w:val="32"/>
          <w:szCs w:val="32"/>
        </w:rPr>
      </w:pPr>
      <w:r>
        <w:drawing>
          <wp:inline distT="0" distB="0" distL="0" distR="0">
            <wp:extent cx="5144135" cy="1939925"/>
            <wp:effectExtent l="0" t="0" r="0" b="0"/>
            <wp:docPr id="13"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Pr>
          <w:rFonts w:hint="eastAsia" w:eastAsia="仿宋_GB2312"/>
          <w:b/>
          <w:bCs/>
          <w:sz w:val="24"/>
        </w:rPr>
        <w:t>图</w:t>
      </w:r>
      <w:r>
        <w:rPr>
          <w:rFonts w:eastAsia="仿宋_GB2312"/>
          <w:b/>
          <w:bCs/>
          <w:sz w:val="24"/>
        </w:rPr>
        <w:t xml:space="preserve">10 </w:t>
      </w:r>
      <w:r>
        <w:rPr>
          <w:rFonts w:hint="eastAsia" w:eastAsia="仿宋_GB2312"/>
          <w:b/>
          <w:bCs/>
          <w:sz w:val="24"/>
        </w:rPr>
        <w:t xml:space="preserve"> 全国汽车“十四五”年销量预测（万辆）</w:t>
      </w:r>
    </w:p>
    <w:p>
      <w:pPr>
        <w:adjustRightInd w:val="0"/>
        <w:snapToGrid w:val="0"/>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《新能源汽车产业发展规划（2021—2035年）》中提出到2025年，国内新能源汽车新车销售量达到汽车新车销售总量的20%左右</w:t>
      </w:r>
      <w:r>
        <w:rPr>
          <w:rStyle w:val="24"/>
          <w:rFonts w:ascii="Times New Roman" w:hAnsi="Times New Roman" w:eastAsia="仿宋_GB2312" w:cs="Times New Roman"/>
          <w:sz w:val="32"/>
          <w:szCs w:val="32"/>
        </w:rPr>
        <w:footnoteReference w:id="7"/>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2020</w:t>
      </w:r>
      <w:r>
        <w:rPr>
          <w:rFonts w:hint="eastAsia" w:ascii="Times New Roman" w:hAnsi="Times New Roman" w:eastAsia="仿宋_GB2312" w:cs="Times New Roman"/>
          <w:sz w:val="32"/>
          <w:szCs w:val="32"/>
        </w:rPr>
        <w:t>年全国新能源汽车销量136.7万辆，市场渗透率约为</w:t>
      </w:r>
      <w:r>
        <w:rPr>
          <w:rFonts w:ascii="Times New Roman" w:hAnsi="Times New Roman" w:eastAsia="仿宋_GB2312" w:cs="Times New Roman"/>
          <w:sz w:val="32"/>
          <w:szCs w:val="32"/>
        </w:rPr>
        <w:t>5.4%</w:t>
      </w:r>
      <w:r>
        <w:rPr>
          <w:rFonts w:hint="eastAsia" w:ascii="Times New Roman" w:hAnsi="Times New Roman" w:eastAsia="仿宋_GB2312" w:cs="Times New Roman"/>
          <w:sz w:val="32"/>
          <w:szCs w:val="32"/>
        </w:rPr>
        <w:t>，即根据国家总体发展目标，“十四五”期间，全国新能源汽车销量占比将从“十三五”末的</w:t>
      </w:r>
      <w:r>
        <w:rPr>
          <w:rFonts w:ascii="Times New Roman" w:hAnsi="Times New Roman" w:eastAsia="仿宋_GB2312" w:cs="Times New Roman"/>
          <w:sz w:val="32"/>
          <w:szCs w:val="32"/>
        </w:rPr>
        <w:t>5%</w:t>
      </w:r>
      <w:r>
        <w:rPr>
          <w:rFonts w:hint="eastAsia" w:ascii="Times New Roman" w:hAnsi="Times New Roman" w:eastAsia="仿宋_GB2312" w:cs="Times New Roman"/>
          <w:sz w:val="32"/>
          <w:szCs w:val="32"/>
        </w:rPr>
        <w:t>左右增长至约</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w:t>
      </w:r>
    </w:p>
    <w:p>
      <w:pPr>
        <w:adjustRightInd w:val="0"/>
        <w:snapToGrid w:val="0"/>
        <w:spacing w:line="580" w:lineRule="exact"/>
        <w:ind w:firstLine="640" w:firstLineChars="200"/>
        <w:jc w:val="left"/>
        <w:rPr>
          <w:rFonts w:ascii="宋体" w:hAnsi="宋体" w:eastAsia="宋体" w:cs="宋体"/>
          <w:b/>
          <w:bCs/>
          <w:kern w:val="0"/>
          <w:sz w:val="22"/>
          <w:szCs w:val="22"/>
        </w:rPr>
      </w:pPr>
      <w:r>
        <w:rPr>
          <w:rFonts w:hint="eastAsia" w:ascii="Times New Roman" w:hAnsi="Times New Roman" w:eastAsia="仿宋_GB2312" w:cs="Times New Roman"/>
          <w:sz w:val="32"/>
          <w:szCs w:val="32"/>
        </w:rPr>
        <w:t>考虑“十四五”期间，全国新能源汽车销量占比匀速增长，全国新能源汽车“十四五”年销量预测如下。</w:t>
      </w:r>
    </w:p>
    <w:p>
      <w:pPr>
        <w:adjustRightInd w:val="0"/>
        <w:snapToGrid w:val="0"/>
        <w:spacing w:beforeLines="50" w:line="580" w:lineRule="exact"/>
        <w:jc w:val="center"/>
        <w:rPr>
          <w:rFonts w:ascii="Times New Roman" w:hAnsi="Times New Roman" w:eastAsia="仿宋_GB2312" w:cs="Times New Roman"/>
          <w:b/>
          <w:bCs/>
          <w:sz w:val="24"/>
        </w:rPr>
      </w:pPr>
      <w:r>
        <w:rPr>
          <w:rFonts w:hint="eastAsia" w:ascii="Times New Roman" w:hAnsi="Times New Roman" w:eastAsia="仿宋_GB2312" w:cs="Times New Roman"/>
          <w:b/>
          <w:bCs/>
          <w:sz w:val="24"/>
        </w:rPr>
        <w:t>表8  全国新能源汽车“十四五”年销量预测（万辆）</w:t>
      </w:r>
    </w:p>
    <w:tbl>
      <w:tblPr>
        <w:tblStyle w:val="17"/>
        <w:tblW w:w="83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357"/>
        <w:gridCol w:w="980"/>
        <w:gridCol w:w="980"/>
        <w:gridCol w:w="980"/>
        <w:gridCol w:w="980"/>
        <w:gridCol w:w="980"/>
        <w:gridCol w:w="1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2357" w:type="dxa"/>
            <w:tcBorders>
              <w:tl2br w:val="nil"/>
              <w:tr2bl w:val="nil"/>
            </w:tcBorders>
            <w:shd w:val="clear" w:color="auto" w:fill="auto"/>
            <w:tcMar>
              <w:top w:w="15" w:type="dxa"/>
              <w:left w:w="15" w:type="dxa"/>
              <w:right w:w="15" w:type="dxa"/>
            </w:tcMar>
            <w:vAlign w:val="center"/>
          </w:tcPr>
          <w:p>
            <w:pPr>
              <w:pStyle w:val="27"/>
              <w:spacing w:line="200" w:lineRule="exact"/>
              <w:jc w:val="center"/>
              <w:rPr>
                <w:rFonts w:ascii="仿宋" w:hAnsi="仿宋" w:eastAsia="仿宋"/>
                <w:sz w:val="20"/>
              </w:rPr>
            </w:pPr>
            <w:r>
              <w:rPr>
                <w:rFonts w:hint="eastAsia" w:ascii="仿宋" w:hAnsi="仿宋" w:eastAsia="仿宋"/>
                <w:sz w:val="20"/>
              </w:rPr>
              <w:t>年份</w:t>
            </w:r>
          </w:p>
        </w:tc>
        <w:tc>
          <w:tcPr>
            <w:tcW w:w="980" w:type="dxa"/>
            <w:tcBorders>
              <w:tl2br w:val="nil"/>
              <w:tr2bl w:val="nil"/>
            </w:tcBorders>
            <w:shd w:val="clear" w:color="auto" w:fill="auto"/>
            <w:tcMar>
              <w:top w:w="15" w:type="dxa"/>
              <w:left w:w="15" w:type="dxa"/>
              <w:right w:w="15" w:type="dxa"/>
            </w:tcMar>
            <w:vAlign w:val="center"/>
          </w:tcPr>
          <w:p>
            <w:pPr>
              <w:pStyle w:val="27"/>
              <w:spacing w:line="200" w:lineRule="exact"/>
              <w:jc w:val="center"/>
              <w:rPr>
                <w:sz w:val="20"/>
              </w:rPr>
            </w:pPr>
            <w:r>
              <w:rPr>
                <w:sz w:val="20"/>
              </w:rPr>
              <w:t>2021</w:t>
            </w:r>
          </w:p>
        </w:tc>
        <w:tc>
          <w:tcPr>
            <w:tcW w:w="980" w:type="dxa"/>
            <w:tcBorders>
              <w:tl2br w:val="nil"/>
              <w:tr2bl w:val="nil"/>
            </w:tcBorders>
            <w:shd w:val="clear" w:color="auto" w:fill="auto"/>
            <w:tcMar>
              <w:top w:w="15" w:type="dxa"/>
              <w:left w:w="15" w:type="dxa"/>
              <w:right w:w="15" w:type="dxa"/>
            </w:tcMar>
            <w:vAlign w:val="center"/>
          </w:tcPr>
          <w:p>
            <w:pPr>
              <w:pStyle w:val="27"/>
              <w:spacing w:line="200" w:lineRule="exact"/>
              <w:jc w:val="center"/>
              <w:rPr>
                <w:sz w:val="20"/>
              </w:rPr>
            </w:pPr>
            <w:r>
              <w:rPr>
                <w:sz w:val="20"/>
              </w:rPr>
              <w:t>2022</w:t>
            </w:r>
          </w:p>
        </w:tc>
        <w:tc>
          <w:tcPr>
            <w:tcW w:w="980" w:type="dxa"/>
            <w:tcBorders>
              <w:tl2br w:val="nil"/>
              <w:tr2bl w:val="nil"/>
            </w:tcBorders>
            <w:shd w:val="clear" w:color="auto" w:fill="auto"/>
            <w:tcMar>
              <w:top w:w="15" w:type="dxa"/>
              <w:left w:w="15" w:type="dxa"/>
              <w:right w:w="15" w:type="dxa"/>
            </w:tcMar>
            <w:vAlign w:val="center"/>
          </w:tcPr>
          <w:p>
            <w:pPr>
              <w:pStyle w:val="27"/>
              <w:spacing w:line="200" w:lineRule="exact"/>
              <w:jc w:val="center"/>
              <w:rPr>
                <w:sz w:val="20"/>
              </w:rPr>
            </w:pPr>
            <w:r>
              <w:rPr>
                <w:sz w:val="20"/>
              </w:rPr>
              <w:t>2023</w:t>
            </w:r>
          </w:p>
        </w:tc>
        <w:tc>
          <w:tcPr>
            <w:tcW w:w="980" w:type="dxa"/>
            <w:tcBorders>
              <w:tl2br w:val="nil"/>
              <w:tr2bl w:val="nil"/>
            </w:tcBorders>
            <w:shd w:val="clear" w:color="auto" w:fill="auto"/>
            <w:tcMar>
              <w:top w:w="15" w:type="dxa"/>
              <w:left w:w="15" w:type="dxa"/>
              <w:right w:w="15" w:type="dxa"/>
            </w:tcMar>
            <w:vAlign w:val="center"/>
          </w:tcPr>
          <w:p>
            <w:pPr>
              <w:pStyle w:val="27"/>
              <w:spacing w:line="200" w:lineRule="exact"/>
              <w:jc w:val="center"/>
              <w:rPr>
                <w:sz w:val="20"/>
              </w:rPr>
            </w:pPr>
            <w:r>
              <w:rPr>
                <w:sz w:val="20"/>
              </w:rPr>
              <w:t>2024</w:t>
            </w:r>
          </w:p>
        </w:tc>
        <w:tc>
          <w:tcPr>
            <w:tcW w:w="980" w:type="dxa"/>
            <w:tcBorders>
              <w:tl2br w:val="nil"/>
              <w:tr2bl w:val="nil"/>
            </w:tcBorders>
            <w:shd w:val="clear" w:color="auto" w:fill="auto"/>
            <w:tcMar>
              <w:top w:w="15" w:type="dxa"/>
              <w:left w:w="15" w:type="dxa"/>
              <w:right w:w="15" w:type="dxa"/>
            </w:tcMar>
            <w:vAlign w:val="center"/>
          </w:tcPr>
          <w:p>
            <w:pPr>
              <w:pStyle w:val="27"/>
              <w:spacing w:line="200" w:lineRule="exact"/>
              <w:jc w:val="center"/>
              <w:rPr>
                <w:sz w:val="20"/>
              </w:rPr>
            </w:pPr>
            <w:r>
              <w:rPr>
                <w:sz w:val="20"/>
              </w:rPr>
              <w:t>2025</w:t>
            </w:r>
          </w:p>
        </w:tc>
        <w:tc>
          <w:tcPr>
            <w:tcW w:w="1079" w:type="dxa"/>
            <w:tcBorders>
              <w:tl2br w:val="nil"/>
              <w:tr2bl w:val="nil"/>
            </w:tcBorders>
            <w:shd w:val="clear" w:color="auto" w:fill="auto"/>
            <w:tcMar>
              <w:top w:w="15" w:type="dxa"/>
              <w:left w:w="15" w:type="dxa"/>
              <w:right w:w="15" w:type="dxa"/>
            </w:tcMar>
            <w:vAlign w:val="center"/>
          </w:tcPr>
          <w:p>
            <w:pPr>
              <w:pStyle w:val="27"/>
              <w:spacing w:line="200" w:lineRule="exact"/>
              <w:jc w:val="center"/>
              <w:rPr>
                <w:sz w:val="20"/>
              </w:rPr>
            </w:pPr>
            <w:r>
              <w:rPr>
                <w:rFonts w:hint="eastAsia"/>
                <w:sz w:val="20"/>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2357" w:type="dxa"/>
            <w:tcBorders>
              <w:tl2br w:val="nil"/>
              <w:tr2bl w:val="nil"/>
            </w:tcBorders>
            <w:shd w:val="clear" w:color="auto" w:fill="auto"/>
            <w:tcMar>
              <w:top w:w="15" w:type="dxa"/>
              <w:left w:w="15" w:type="dxa"/>
              <w:right w:w="15" w:type="dxa"/>
            </w:tcMar>
            <w:vAlign w:val="center"/>
          </w:tcPr>
          <w:p>
            <w:pPr>
              <w:pStyle w:val="27"/>
              <w:spacing w:line="200" w:lineRule="exact"/>
              <w:jc w:val="center"/>
              <w:rPr>
                <w:rFonts w:ascii="仿宋" w:hAnsi="仿宋" w:eastAsia="仿宋"/>
                <w:sz w:val="20"/>
              </w:rPr>
            </w:pPr>
            <w:r>
              <w:rPr>
                <w:rFonts w:hint="eastAsia" w:ascii="仿宋" w:hAnsi="仿宋" w:eastAsia="仿宋"/>
                <w:sz w:val="20"/>
              </w:rPr>
              <w:t>预计销量</w:t>
            </w:r>
          </w:p>
        </w:tc>
        <w:tc>
          <w:tcPr>
            <w:tcW w:w="980" w:type="dxa"/>
            <w:tcBorders>
              <w:tl2br w:val="nil"/>
              <w:tr2bl w:val="nil"/>
            </w:tcBorders>
            <w:shd w:val="clear" w:color="auto" w:fill="auto"/>
            <w:tcMar>
              <w:top w:w="15" w:type="dxa"/>
              <w:left w:w="15" w:type="dxa"/>
              <w:right w:w="15" w:type="dxa"/>
            </w:tcMar>
            <w:vAlign w:val="center"/>
          </w:tcPr>
          <w:p>
            <w:pPr>
              <w:pStyle w:val="27"/>
              <w:spacing w:line="200" w:lineRule="exact"/>
              <w:jc w:val="center"/>
              <w:rPr>
                <w:sz w:val="20"/>
                <w:szCs w:val="22"/>
              </w:rPr>
            </w:pPr>
            <w:r>
              <w:rPr>
                <w:sz w:val="20"/>
                <w:szCs w:val="22"/>
              </w:rPr>
              <w:t>2568</w:t>
            </w:r>
          </w:p>
        </w:tc>
        <w:tc>
          <w:tcPr>
            <w:tcW w:w="980" w:type="dxa"/>
            <w:tcBorders>
              <w:tl2br w:val="nil"/>
              <w:tr2bl w:val="nil"/>
            </w:tcBorders>
            <w:shd w:val="clear" w:color="auto" w:fill="auto"/>
            <w:tcMar>
              <w:top w:w="15" w:type="dxa"/>
              <w:left w:w="15" w:type="dxa"/>
              <w:right w:w="15" w:type="dxa"/>
            </w:tcMar>
            <w:vAlign w:val="center"/>
          </w:tcPr>
          <w:p>
            <w:pPr>
              <w:pStyle w:val="27"/>
              <w:spacing w:line="200" w:lineRule="exact"/>
              <w:jc w:val="center"/>
              <w:rPr>
                <w:sz w:val="20"/>
                <w:szCs w:val="22"/>
              </w:rPr>
            </w:pPr>
            <w:r>
              <w:rPr>
                <w:sz w:val="20"/>
                <w:szCs w:val="22"/>
              </w:rPr>
              <w:t>2607</w:t>
            </w:r>
          </w:p>
        </w:tc>
        <w:tc>
          <w:tcPr>
            <w:tcW w:w="980" w:type="dxa"/>
            <w:tcBorders>
              <w:tl2br w:val="nil"/>
              <w:tr2bl w:val="nil"/>
            </w:tcBorders>
            <w:shd w:val="clear" w:color="auto" w:fill="auto"/>
            <w:tcMar>
              <w:top w:w="15" w:type="dxa"/>
              <w:left w:w="15" w:type="dxa"/>
              <w:right w:w="15" w:type="dxa"/>
            </w:tcMar>
            <w:vAlign w:val="center"/>
          </w:tcPr>
          <w:p>
            <w:pPr>
              <w:pStyle w:val="27"/>
              <w:spacing w:line="200" w:lineRule="exact"/>
              <w:jc w:val="center"/>
              <w:rPr>
                <w:sz w:val="20"/>
                <w:szCs w:val="22"/>
              </w:rPr>
            </w:pPr>
            <w:r>
              <w:rPr>
                <w:sz w:val="20"/>
                <w:szCs w:val="22"/>
              </w:rPr>
              <w:t>2646</w:t>
            </w:r>
          </w:p>
        </w:tc>
        <w:tc>
          <w:tcPr>
            <w:tcW w:w="980" w:type="dxa"/>
            <w:tcBorders>
              <w:tl2br w:val="nil"/>
              <w:tr2bl w:val="nil"/>
            </w:tcBorders>
            <w:shd w:val="clear" w:color="auto" w:fill="auto"/>
            <w:tcMar>
              <w:top w:w="15" w:type="dxa"/>
              <w:left w:w="15" w:type="dxa"/>
              <w:right w:w="15" w:type="dxa"/>
            </w:tcMar>
            <w:vAlign w:val="center"/>
          </w:tcPr>
          <w:p>
            <w:pPr>
              <w:pStyle w:val="27"/>
              <w:spacing w:line="200" w:lineRule="exact"/>
              <w:jc w:val="center"/>
              <w:rPr>
                <w:sz w:val="20"/>
                <w:szCs w:val="22"/>
              </w:rPr>
            </w:pPr>
            <w:r>
              <w:rPr>
                <w:sz w:val="20"/>
                <w:szCs w:val="22"/>
              </w:rPr>
              <w:t>2699</w:t>
            </w:r>
          </w:p>
        </w:tc>
        <w:tc>
          <w:tcPr>
            <w:tcW w:w="980" w:type="dxa"/>
            <w:tcBorders>
              <w:tl2br w:val="nil"/>
              <w:tr2bl w:val="nil"/>
            </w:tcBorders>
            <w:shd w:val="clear" w:color="auto" w:fill="auto"/>
            <w:tcMar>
              <w:top w:w="15" w:type="dxa"/>
              <w:left w:w="15" w:type="dxa"/>
              <w:right w:w="15" w:type="dxa"/>
            </w:tcMar>
            <w:vAlign w:val="center"/>
          </w:tcPr>
          <w:p>
            <w:pPr>
              <w:pStyle w:val="27"/>
              <w:spacing w:line="200" w:lineRule="exact"/>
              <w:jc w:val="center"/>
              <w:rPr>
                <w:sz w:val="20"/>
                <w:szCs w:val="22"/>
              </w:rPr>
            </w:pPr>
            <w:r>
              <w:rPr>
                <w:sz w:val="20"/>
                <w:szCs w:val="22"/>
              </w:rPr>
              <w:t>2753</w:t>
            </w:r>
          </w:p>
        </w:tc>
        <w:tc>
          <w:tcPr>
            <w:tcW w:w="1079" w:type="dxa"/>
            <w:tcBorders>
              <w:tl2br w:val="nil"/>
              <w:tr2bl w:val="nil"/>
            </w:tcBorders>
            <w:shd w:val="clear" w:color="auto" w:fill="auto"/>
            <w:tcMar>
              <w:top w:w="15" w:type="dxa"/>
              <w:left w:w="15" w:type="dxa"/>
              <w:right w:w="15" w:type="dxa"/>
            </w:tcMar>
            <w:vAlign w:val="center"/>
          </w:tcPr>
          <w:p>
            <w:pPr>
              <w:pStyle w:val="27"/>
              <w:spacing w:line="200" w:lineRule="exact"/>
              <w:jc w:val="center"/>
              <w:rPr>
                <w:sz w:val="20"/>
                <w:szCs w:val="22"/>
              </w:rPr>
            </w:pPr>
            <w:r>
              <w:rPr>
                <w:sz w:val="20"/>
                <w:szCs w:val="22"/>
              </w:rPr>
              <w:t>1</w:t>
            </w:r>
            <w:r>
              <w:rPr>
                <w:rFonts w:hint="eastAsia"/>
                <w:sz w:val="20"/>
                <w:szCs w:val="22"/>
              </w:rPr>
              <w:t>3273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2357" w:type="dxa"/>
            <w:tcBorders>
              <w:tl2br w:val="nil"/>
              <w:tr2bl w:val="nil"/>
            </w:tcBorders>
            <w:shd w:val="clear" w:color="auto" w:fill="auto"/>
            <w:tcMar>
              <w:top w:w="15" w:type="dxa"/>
              <w:left w:w="15" w:type="dxa"/>
              <w:right w:w="15" w:type="dxa"/>
            </w:tcMar>
            <w:vAlign w:val="center"/>
          </w:tcPr>
          <w:p>
            <w:pPr>
              <w:pStyle w:val="27"/>
              <w:spacing w:line="200" w:lineRule="exact"/>
              <w:jc w:val="center"/>
              <w:rPr>
                <w:rFonts w:ascii="仿宋" w:hAnsi="仿宋" w:eastAsia="仿宋"/>
                <w:sz w:val="20"/>
              </w:rPr>
            </w:pPr>
            <w:r>
              <w:rPr>
                <w:rFonts w:hint="eastAsia" w:ascii="仿宋" w:hAnsi="仿宋" w:eastAsia="仿宋"/>
                <w:sz w:val="20"/>
              </w:rPr>
              <w:t>新能源汽车销量占比</w:t>
            </w:r>
          </w:p>
        </w:tc>
        <w:tc>
          <w:tcPr>
            <w:tcW w:w="980" w:type="dxa"/>
            <w:tcBorders>
              <w:tl2br w:val="nil"/>
              <w:tr2bl w:val="nil"/>
            </w:tcBorders>
            <w:shd w:val="clear" w:color="auto" w:fill="auto"/>
            <w:tcMar>
              <w:top w:w="15" w:type="dxa"/>
              <w:left w:w="15" w:type="dxa"/>
              <w:right w:w="15" w:type="dxa"/>
            </w:tcMar>
            <w:vAlign w:val="center"/>
          </w:tcPr>
          <w:p>
            <w:pPr>
              <w:pStyle w:val="27"/>
              <w:spacing w:line="200" w:lineRule="exact"/>
              <w:jc w:val="center"/>
              <w:rPr>
                <w:sz w:val="20"/>
                <w:szCs w:val="22"/>
              </w:rPr>
            </w:pPr>
            <w:r>
              <w:rPr>
                <w:sz w:val="20"/>
                <w:szCs w:val="22"/>
              </w:rPr>
              <w:t>8%</w:t>
            </w:r>
          </w:p>
        </w:tc>
        <w:tc>
          <w:tcPr>
            <w:tcW w:w="980" w:type="dxa"/>
            <w:tcBorders>
              <w:tl2br w:val="nil"/>
              <w:tr2bl w:val="nil"/>
            </w:tcBorders>
            <w:shd w:val="clear" w:color="auto" w:fill="auto"/>
            <w:tcMar>
              <w:top w:w="15" w:type="dxa"/>
              <w:left w:w="15" w:type="dxa"/>
              <w:right w:w="15" w:type="dxa"/>
            </w:tcMar>
            <w:vAlign w:val="center"/>
          </w:tcPr>
          <w:p>
            <w:pPr>
              <w:pStyle w:val="27"/>
              <w:spacing w:line="200" w:lineRule="exact"/>
              <w:jc w:val="center"/>
              <w:rPr>
                <w:sz w:val="20"/>
                <w:szCs w:val="22"/>
              </w:rPr>
            </w:pPr>
            <w:r>
              <w:rPr>
                <w:sz w:val="20"/>
                <w:szCs w:val="22"/>
              </w:rPr>
              <w:t>11%</w:t>
            </w:r>
          </w:p>
        </w:tc>
        <w:tc>
          <w:tcPr>
            <w:tcW w:w="980" w:type="dxa"/>
            <w:tcBorders>
              <w:tl2br w:val="nil"/>
              <w:tr2bl w:val="nil"/>
            </w:tcBorders>
            <w:shd w:val="clear" w:color="auto" w:fill="auto"/>
            <w:tcMar>
              <w:top w:w="15" w:type="dxa"/>
              <w:left w:w="15" w:type="dxa"/>
              <w:right w:w="15" w:type="dxa"/>
            </w:tcMar>
            <w:vAlign w:val="center"/>
          </w:tcPr>
          <w:p>
            <w:pPr>
              <w:pStyle w:val="27"/>
              <w:spacing w:line="200" w:lineRule="exact"/>
              <w:jc w:val="center"/>
              <w:rPr>
                <w:sz w:val="20"/>
                <w:szCs w:val="22"/>
              </w:rPr>
            </w:pPr>
            <w:r>
              <w:rPr>
                <w:sz w:val="20"/>
                <w:szCs w:val="22"/>
              </w:rPr>
              <w:t>14%</w:t>
            </w:r>
          </w:p>
        </w:tc>
        <w:tc>
          <w:tcPr>
            <w:tcW w:w="980" w:type="dxa"/>
            <w:tcBorders>
              <w:tl2br w:val="nil"/>
              <w:tr2bl w:val="nil"/>
            </w:tcBorders>
            <w:shd w:val="clear" w:color="auto" w:fill="auto"/>
            <w:tcMar>
              <w:top w:w="15" w:type="dxa"/>
              <w:left w:w="15" w:type="dxa"/>
              <w:right w:w="15" w:type="dxa"/>
            </w:tcMar>
            <w:vAlign w:val="center"/>
          </w:tcPr>
          <w:p>
            <w:pPr>
              <w:pStyle w:val="27"/>
              <w:spacing w:line="200" w:lineRule="exact"/>
              <w:jc w:val="center"/>
              <w:rPr>
                <w:sz w:val="20"/>
                <w:szCs w:val="22"/>
              </w:rPr>
            </w:pPr>
            <w:r>
              <w:rPr>
                <w:sz w:val="20"/>
                <w:szCs w:val="22"/>
              </w:rPr>
              <w:t>17%</w:t>
            </w:r>
          </w:p>
        </w:tc>
        <w:tc>
          <w:tcPr>
            <w:tcW w:w="980" w:type="dxa"/>
            <w:tcBorders>
              <w:tl2br w:val="nil"/>
              <w:tr2bl w:val="nil"/>
            </w:tcBorders>
            <w:shd w:val="clear" w:color="auto" w:fill="auto"/>
            <w:tcMar>
              <w:top w:w="15" w:type="dxa"/>
              <w:left w:w="15" w:type="dxa"/>
              <w:right w:w="15" w:type="dxa"/>
            </w:tcMar>
            <w:vAlign w:val="center"/>
          </w:tcPr>
          <w:p>
            <w:pPr>
              <w:pStyle w:val="27"/>
              <w:spacing w:line="200" w:lineRule="exact"/>
              <w:jc w:val="center"/>
              <w:rPr>
                <w:sz w:val="20"/>
                <w:szCs w:val="22"/>
              </w:rPr>
            </w:pPr>
            <w:r>
              <w:rPr>
                <w:sz w:val="20"/>
                <w:szCs w:val="22"/>
              </w:rPr>
              <w:t>20%</w:t>
            </w:r>
          </w:p>
        </w:tc>
        <w:tc>
          <w:tcPr>
            <w:tcW w:w="1079" w:type="dxa"/>
            <w:tcBorders>
              <w:tl2br w:val="nil"/>
              <w:tr2bl w:val="nil"/>
            </w:tcBorders>
            <w:shd w:val="clear" w:color="auto" w:fill="auto"/>
            <w:tcMar>
              <w:top w:w="15" w:type="dxa"/>
              <w:left w:w="15" w:type="dxa"/>
              <w:right w:w="15" w:type="dxa"/>
            </w:tcMar>
            <w:vAlign w:val="center"/>
          </w:tcPr>
          <w:p>
            <w:pPr>
              <w:pStyle w:val="27"/>
              <w:spacing w:line="200" w:lineRule="exact"/>
              <w:ind w:firstLine="643"/>
              <w:jc w:val="center"/>
              <w:rPr>
                <w:sz w:val="2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2357" w:type="dxa"/>
            <w:tcBorders>
              <w:tl2br w:val="nil"/>
              <w:tr2bl w:val="nil"/>
            </w:tcBorders>
            <w:shd w:val="clear" w:color="auto" w:fill="auto"/>
            <w:tcMar>
              <w:top w:w="15" w:type="dxa"/>
              <w:left w:w="15" w:type="dxa"/>
              <w:right w:w="15" w:type="dxa"/>
            </w:tcMar>
            <w:vAlign w:val="center"/>
          </w:tcPr>
          <w:p>
            <w:pPr>
              <w:pStyle w:val="27"/>
              <w:spacing w:line="200" w:lineRule="exact"/>
              <w:jc w:val="center"/>
              <w:rPr>
                <w:rFonts w:ascii="仿宋" w:hAnsi="仿宋" w:eastAsia="仿宋"/>
                <w:sz w:val="20"/>
              </w:rPr>
            </w:pPr>
            <w:r>
              <w:rPr>
                <w:rFonts w:hint="eastAsia" w:ascii="仿宋" w:hAnsi="仿宋" w:eastAsia="仿宋"/>
                <w:sz w:val="20"/>
              </w:rPr>
              <w:t>新能源汽车销量</w:t>
            </w:r>
          </w:p>
        </w:tc>
        <w:tc>
          <w:tcPr>
            <w:tcW w:w="980" w:type="dxa"/>
            <w:tcBorders>
              <w:tl2br w:val="nil"/>
              <w:tr2bl w:val="nil"/>
            </w:tcBorders>
            <w:shd w:val="clear" w:color="auto" w:fill="auto"/>
            <w:tcMar>
              <w:top w:w="15" w:type="dxa"/>
              <w:left w:w="15" w:type="dxa"/>
              <w:right w:w="15" w:type="dxa"/>
            </w:tcMar>
            <w:vAlign w:val="center"/>
          </w:tcPr>
          <w:p>
            <w:pPr>
              <w:pStyle w:val="27"/>
              <w:spacing w:line="200" w:lineRule="exact"/>
              <w:jc w:val="center"/>
              <w:rPr>
                <w:sz w:val="20"/>
                <w:szCs w:val="22"/>
              </w:rPr>
            </w:pPr>
            <w:r>
              <w:rPr>
                <w:rFonts w:hint="eastAsia"/>
                <w:sz w:val="20"/>
                <w:szCs w:val="22"/>
              </w:rPr>
              <w:t>205.4</w:t>
            </w:r>
          </w:p>
        </w:tc>
        <w:tc>
          <w:tcPr>
            <w:tcW w:w="980" w:type="dxa"/>
            <w:tcBorders>
              <w:tl2br w:val="nil"/>
              <w:tr2bl w:val="nil"/>
            </w:tcBorders>
            <w:shd w:val="clear" w:color="auto" w:fill="auto"/>
            <w:tcMar>
              <w:top w:w="15" w:type="dxa"/>
              <w:left w:w="15" w:type="dxa"/>
              <w:right w:w="15" w:type="dxa"/>
            </w:tcMar>
            <w:vAlign w:val="center"/>
          </w:tcPr>
          <w:p>
            <w:pPr>
              <w:pStyle w:val="27"/>
              <w:spacing w:line="200" w:lineRule="exact"/>
              <w:jc w:val="center"/>
              <w:rPr>
                <w:sz w:val="20"/>
                <w:szCs w:val="22"/>
              </w:rPr>
            </w:pPr>
            <w:r>
              <w:rPr>
                <w:rFonts w:hint="eastAsia"/>
                <w:sz w:val="20"/>
                <w:szCs w:val="22"/>
              </w:rPr>
              <w:t>286.7</w:t>
            </w:r>
          </w:p>
        </w:tc>
        <w:tc>
          <w:tcPr>
            <w:tcW w:w="980" w:type="dxa"/>
            <w:tcBorders>
              <w:tl2br w:val="nil"/>
              <w:tr2bl w:val="nil"/>
            </w:tcBorders>
            <w:shd w:val="clear" w:color="auto" w:fill="auto"/>
            <w:tcMar>
              <w:top w:w="15" w:type="dxa"/>
              <w:left w:w="15" w:type="dxa"/>
              <w:right w:w="15" w:type="dxa"/>
            </w:tcMar>
            <w:vAlign w:val="center"/>
          </w:tcPr>
          <w:p>
            <w:pPr>
              <w:pStyle w:val="27"/>
              <w:spacing w:line="200" w:lineRule="exact"/>
              <w:jc w:val="center"/>
              <w:rPr>
                <w:sz w:val="20"/>
                <w:szCs w:val="22"/>
              </w:rPr>
            </w:pPr>
            <w:r>
              <w:rPr>
                <w:rFonts w:hint="eastAsia"/>
                <w:sz w:val="20"/>
                <w:szCs w:val="22"/>
              </w:rPr>
              <w:t>370.4</w:t>
            </w:r>
          </w:p>
        </w:tc>
        <w:tc>
          <w:tcPr>
            <w:tcW w:w="980" w:type="dxa"/>
            <w:tcBorders>
              <w:tl2br w:val="nil"/>
              <w:tr2bl w:val="nil"/>
            </w:tcBorders>
            <w:shd w:val="clear" w:color="auto" w:fill="auto"/>
            <w:tcMar>
              <w:top w:w="15" w:type="dxa"/>
              <w:left w:w="15" w:type="dxa"/>
              <w:right w:w="15" w:type="dxa"/>
            </w:tcMar>
            <w:vAlign w:val="center"/>
          </w:tcPr>
          <w:p>
            <w:pPr>
              <w:pStyle w:val="27"/>
              <w:spacing w:line="200" w:lineRule="exact"/>
              <w:jc w:val="center"/>
              <w:rPr>
                <w:sz w:val="20"/>
                <w:szCs w:val="22"/>
              </w:rPr>
            </w:pPr>
            <w:r>
              <w:rPr>
                <w:rFonts w:hint="eastAsia"/>
                <w:sz w:val="20"/>
                <w:szCs w:val="22"/>
              </w:rPr>
              <w:t>458.8</w:t>
            </w:r>
          </w:p>
        </w:tc>
        <w:tc>
          <w:tcPr>
            <w:tcW w:w="980" w:type="dxa"/>
            <w:tcBorders>
              <w:tl2br w:val="nil"/>
              <w:tr2bl w:val="nil"/>
            </w:tcBorders>
            <w:shd w:val="clear" w:color="auto" w:fill="auto"/>
            <w:tcMar>
              <w:top w:w="15" w:type="dxa"/>
              <w:left w:w="15" w:type="dxa"/>
              <w:right w:w="15" w:type="dxa"/>
            </w:tcMar>
            <w:vAlign w:val="center"/>
          </w:tcPr>
          <w:p>
            <w:pPr>
              <w:pStyle w:val="27"/>
              <w:spacing w:line="200" w:lineRule="exact"/>
              <w:jc w:val="center"/>
              <w:rPr>
                <w:sz w:val="20"/>
                <w:szCs w:val="22"/>
              </w:rPr>
            </w:pPr>
            <w:r>
              <w:rPr>
                <w:rFonts w:hint="eastAsia"/>
                <w:sz w:val="20"/>
                <w:szCs w:val="22"/>
              </w:rPr>
              <w:t>550.6</w:t>
            </w:r>
          </w:p>
        </w:tc>
        <w:tc>
          <w:tcPr>
            <w:tcW w:w="1079" w:type="dxa"/>
            <w:tcBorders>
              <w:tl2br w:val="nil"/>
              <w:tr2bl w:val="nil"/>
            </w:tcBorders>
            <w:shd w:val="clear" w:color="auto" w:fill="auto"/>
            <w:tcMar>
              <w:top w:w="15" w:type="dxa"/>
              <w:left w:w="15" w:type="dxa"/>
              <w:right w:w="15" w:type="dxa"/>
            </w:tcMar>
            <w:vAlign w:val="center"/>
          </w:tcPr>
          <w:p>
            <w:pPr>
              <w:pStyle w:val="27"/>
              <w:spacing w:line="200" w:lineRule="exact"/>
              <w:jc w:val="center"/>
              <w:rPr>
                <w:sz w:val="20"/>
                <w:szCs w:val="22"/>
              </w:rPr>
            </w:pPr>
            <w:r>
              <w:rPr>
                <w:sz w:val="20"/>
                <w:szCs w:val="22"/>
              </w:rPr>
              <w:t>1</w:t>
            </w:r>
            <w:r>
              <w:rPr>
                <w:rFonts w:hint="eastAsia"/>
                <w:sz w:val="20"/>
                <w:szCs w:val="22"/>
              </w:rPr>
              <w:t>871.9</w:t>
            </w:r>
          </w:p>
        </w:tc>
      </w:tr>
    </w:tbl>
    <w:p>
      <w:pPr>
        <w:pStyle w:val="2"/>
        <w:ind w:firstLine="0" w:firstLineChars="0"/>
      </w:pPr>
    </w:p>
    <w:p>
      <w:pPr>
        <w:pStyle w:val="2"/>
      </w:pPr>
      <w:r>
        <w:drawing>
          <wp:inline distT="0" distB="0" distL="0" distR="0">
            <wp:extent cx="5274310" cy="2468880"/>
            <wp:effectExtent l="0" t="0" r="0" b="0"/>
            <wp:docPr id="15"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pPr>
        <w:adjustRightInd w:val="0"/>
        <w:snapToGrid w:val="0"/>
        <w:spacing w:afterLines="50"/>
        <w:ind w:firstLine="482" w:firstLineChars="200"/>
        <w:jc w:val="center"/>
        <w:rPr>
          <w:rFonts w:ascii="Times New Roman" w:hAnsi="Times New Roman" w:eastAsia="仿宋_GB2312" w:cs="Times New Roman"/>
          <w:b/>
          <w:bCs/>
          <w:sz w:val="32"/>
          <w:szCs w:val="32"/>
        </w:rPr>
      </w:pPr>
      <w:r>
        <w:rPr>
          <w:rFonts w:hint="eastAsia" w:ascii="Times New Roman" w:hAnsi="Times New Roman" w:eastAsia="仿宋_GB2312" w:cs="Times New Roman"/>
          <w:b/>
          <w:bCs/>
          <w:sz w:val="24"/>
        </w:rPr>
        <w:t>图11  全国新能源汽车“十四五”年销量预测（万辆</w:t>
      </w:r>
      <w:r>
        <w:rPr>
          <w:rFonts w:hint="eastAsia" w:ascii="宋体" w:hAnsi="宋体" w:eastAsia="宋体" w:cs="宋体"/>
          <w:b/>
          <w:bCs/>
          <w:kern w:val="0"/>
          <w:sz w:val="22"/>
          <w:szCs w:val="22"/>
        </w:rPr>
        <w:t>）</w:t>
      </w:r>
    </w:p>
    <w:p>
      <w:pPr>
        <w:adjustRightInd w:val="0"/>
        <w:snapToGrid w:val="0"/>
        <w:spacing w:beforeLines="50" w:line="580" w:lineRule="exact"/>
        <w:jc w:val="center"/>
        <w:rPr>
          <w:rFonts w:ascii="Times New Roman" w:hAnsi="Times New Roman" w:eastAsia="仿宋_GB2312" w:cs="Times New Roman"/>
          <w:b/>
          <w:bCs/>
          <w:sz w:val="24"/>
        </w:rPr>
      </w:pPr>
      <w:r>
        <w:rPr>
          <w:rFonts w:hint="eastAsia" w:ascii="Times New Roman" w:hAnsi="Times New Roman" w:eastAsia="仿宋_GB2312" w:cs="Times New Roman"/>
          <w:b/>
          <w:bCs/>
          <w:sz w:val="24"/>
        </w:rPr>
        <w:t>表</w:t>
      </w:r>
      <w:r>
        <w:rPr>
          <w:rFonts w:ascii="Times New Roman" w:hAnsi="Times New Roman" w:eastAsia="仿宋_GB2312" w:cs="Times New Roman"/>
          <w:b/>
          <w:bCs/>
          <w:sz w:val="24"/>
        </w:rPr>
        <w:t>9</w:t>
      </w:r>
      <w:r>
        <w:rPr>
          <w:rFonts w:hint="eastAsia" w:ascii="Times New Roman" w:hAnsi="Times New Roman" w:eastAsia="仿宋_GB2312" w:cs="Times New Roman"/>
          <w:b/>
          <w:bCs/>
          <w:sz w:val="24"/>
        </w:rPr>
        <w:t xml:space="preserve">  </w:t>
      </w:r>
      <w:r>
        <w:rPr>
          <w:rFonts w:ascii="Times New Roman" w:hAnsi="Times New Roman" w:eastAsia="仿宋_GB2312" w:cs="Times New Roman"/>
          <w:b/>
          <w:bCs/>
          <w:sz w:val="24"/>
        </w:rPr>
        <w:t>2018-2020</w:t>
      </w:r>
      <w:r>
        <w:rPr>
          <w:rFonts w:hint="eastAsia" w:ascii="Times New Roman" w:hAnsi="Times New Roman" w:eastAsia="仿宋_GB2312" w:cs="Times New Roman"/>
          <w:b/>
          <w:bCs/>
          <w:sz w:val="24"/>
        </w:rPr>
        <w:t>年全国及陕西新能源汽车销量情况（万辆）</w:t>
      </w:r>
    </w:p>
    <w:tbl>
      <w:tblPr>
        <w:tblStyle w:val="17"/>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213"/>
        <w:gridCol w:w="1756"/>
        <w:gridCol w:w="2856"/>
        <w:gridCol w:w="16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2213" w:type="dxa"/>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年份</w:t>
            </w:r>
          </w:p>
        </w:tc>
        <w:tc>
          <w:tcPr>
            <w:tcW w:w="1756" w:type="dxa"/>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全国新能源销量</w:t>
            </w:r>
          </w:p>
        </w:tc>
        <w:tc>
          <w:tcPr>
            <w:tcW w:w="2856" w:type="dxa"/>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陕西新能源汽车保有量增量</w:t>
            </w:r>
          </w:p>
        </w:tc>
        <w:tc>
          <w:tcPr>
            <w:tcW w:w="1697" w:type="dxa"/>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占比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2213" w:type="dxa"/>
            <w:shd w:val="clear" w:color="auto" w:fill="auto"/>
            <w:vAlign w:val="center"/>
          </w:tcPr>
          <w:p>
            <w:pPr>
              <w:pStyle w:val="27"/>
              <w:spacing w:line="200" w:lineRule="exact"/>
              <w:jc w:val="center"/>
            </w:pPr>
            <w:r>
              <w:rPr>
                <w:rFonts w:hint="eastAsia"/>
              </w:rPr>
              <w:t>2020</w:t>
            </w:r>
          </w:p>
        </w:tc>
        <w:tc>
          <w:tcPr>
            <w:tcW w:w="1756" w:type="dxa"/>
            <w:shd w:val="clear" w:color="auto" w:fill="auto"/>
            <w:vAlign w:val="center"/>
          </w:tcPr>
          <w:p>
            <w:pPr>
              <w:pStyle w:val="27"/>
              <w:spacing w:line="200" w:lineRule="exact"/>
              <w:jc w:val="center"/>
            </w:pPr>
            <w:r>
              <w:rPr>
                <w:rFonts w:hint="eastAsia"/>
              </w:rPr>
              <w:t>136.7</w:t>
            </w:r>
          </w:p>
        </w:tc>
        <w:tc>
          <w:tcPr>
            <w:tcW w:w="2856" w:type="dxa"/>
            <w:shd w:val="clear" w:color="auto" w:fill="auto"/>
            <w:vAlign w:val="center"/>
          </w:tcPr>
          <w:p>
            <w:pPr>
              <w:pStyle w:val="27"/>
              <w:spacing w:line="200" w:lineRule="exact"/>
              <w:jc w:val="center"/>
            </w:pPr>
            <w:r>
              <w:rPr>
                <w:rFonts w:hint="eastAsia"/>
              </w:rPr>
              <w:t>2.24</w:t>
            </w:r>
          </w:p>
        </w:tc>
        <w:tc>
          <w:tcPr>
            <w:tcW w:w="1697" w:type="dxa"/>
            <w:shd w:val="clear" w:color="auto" w:fill="auto"/>
            <w:vAlign w:val="center"/>
          </w:tcPr>
          <w:p>
            <w:pPr>
              <w:pStyle w:val="27"/>
              <w:spacing w:line="200" w:lineRule="exact"/>
              <w:jc w:val="center"/>
            </w:pPr>
            <w:r>
              <w:rPr>
                <w:rFonts w:hint="eastAsia"/>
              </w:rPr>
              <w:t>1.64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2213" w:type="dxa"/>
            <w:shd w:val="clear" w:color="auto" w:fill="auto"/>
            <w:vAlign w:val="center"/>
          </w:tcPr>
          <w:p>
            <w:pPr>
              <w:pStyle w:val="27"/>
              <w:spacing w:line="200" w:lineRule="exact"/>
              <w:jc w:val="center"/>
            </w:pPr>
            <w:r>
              <w:rPr>
                <w:rFonts w:hint="eastAsia"/>
              </w:rPr>
              <w:t>2019</w:t>
            </w:r>
          </w:p>
        </w:tc>
        <w:tc>
          <w:tcPr>
            <w:tcW w:w="1756" w:type="dxa"/>
            <w:shd w:val="clear" w:color="auto" w:fill="auto"/>
            <w:vAlign w:val="center"/>
          </w:tcPr>
          <w:p>
            <w:pPr>
              <w:pStyle w:val="27"/>
              <w:spacing w:line="200" w:lineRule="exact"/>
              <w:jc w:val="center"/>
            </w:pPr>
            <w:r>
              <w:rPr>
                <w:rFonts w:hint="eastAsia"/>
              </w:rPr>
              <w:t>120.6</w:t>
            </w:r>
          </w:p>
        </w:tc>
        <w:tc>
          <w:tcPr>
            <w:tcW w:w="2856" w:type="dxa"/>
            <w:shd w:val="clear" w:color="auto" w:fill="auto"/>
            <w:vAlign w:val="center"/>
          </w:tcPr>
          <w:p>
            <w:pPr>
              <w:pStyle w:val="27"/>
              <w:spacing w:line="200" w:lineRule="exact"/>
              <w:jc w:val="center"/>
            </w:pPr>
            <w:r>
              <w:t>3</w:t>
            </w:r>
            <w:r>
              <w:rPr>
                <w:rFonts w:hint="eastAsia"/>
              </w:rPr>
              <w:t>.</w:t>
            </w:r>
            <w:r>
              <w:t>71</w:t>
            </w:r>
          </w:p>
        </w:tc>
        <w:tc>
          <w:tcPr>
            <w:tcW w:w="1697" w:type="dxa"/>
            <w:shd w:val="clear" w:color="auto" w:fill="auto"/>
            <w:vAlign w:val="center"/>
          </w:tcPr>
          <w:p>
            <w:pPr>
              <w:pStyle w:val="27"/>
              <w:spacing w:line="200" w:lineRule="exact"/>
              <w:jc w:val="center"/>
            </w:pPr>
            <w:r>
              <w:rPr>
                <w:rFonts w:hint="eastAsia"/>
              </w:rPr>
              <w:t>3.08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2213" w:type="dxa"/>
            <w:shd w:val="clear" w:color="auto" w:fill="auto"/>
            <w:vAlign w:val="center"/>
          </w:tcPr>
          <w:p>
            <w:pPr>
              <w:pStyle w:val="27"/>
              <w:spacing w:line="200" w:lineRule="exact"/>
              <w:jc w:val="center"/>
            </w:pPr>
            <w:r>
              <w:rPr>
                <w:rFonts w:hint="eastAsia"/>
              </w:rPr>
              <w:t>2018</w:t>
            </w:r>
          </w:p>
        </w:tc>
        <w:tc>
          <w:tcPr>
            <w:tcW w:w="1756" w:type="dxa"/>
            <w:shd w:val="clear" w:color="auto" w:fill="auto"/>
            <w:vAlign w:val="center"/>
          </w:tcPr>
          <w:p>
            <w:pPr>
              <w:pStyle w:val="27"/>
              <w:spacing w:line="200" w:lineRule="exact"/>
              <w:jc w:val="center"/>
            </w:pPr>
            <w:r>
              <w:rPr>
                <w:rFonts w:hint="eastAsia"/>
              </w:rPr>
              <w:t>125.6</w:t>
            </w:r>
          </w:p>
        </w:tc>
        <w:tc>
          <w:tcPr>
            <w:tcW w:w="2856" w:type="dxa"/>
            <w:shd w:val="clear" w:color="auto" w:fill="auto"/>
            <w:vAlign w:val="center"/>
          </w:tcPr>
          <w:p>
            <w:pPr>
              <w:pStyle w:val="27"/>
              <w:spacing w:line="200" w:lineRule="exact"/>
              <w:jc w:val="center"/>
            </w:pPr>
            <w:r>
              <w:rPr>
                <w:rFonts w:hint="eastAsia"/>
              </w:rPr>
              <w:t>0.</w:t>
            </w:r>
            <w:r>
              <w:t>66</w:t>
            </w:r>
          </w:p>
        </w:tc>
        <w:tc>
          <w:tcPr>
            <w:tcW w:w="1697" w:type="dxa"/>
            <w:shd w:val="clear" w:color="auto" w:fill="auto"/>
            <w:vAlign w:val="center"/>
          </w:tcPr>
          <w:p>
            <w:pPr>
              <w:pStyle w:val="27"/>
              <w:spacing w:line="200" w:lineRule="exact"/>
              <w:jc w:val="center"/>
            </w:pPr>
            <w:r>
              <w:rPr>
                <w:rFonts w:hint="eastAsia"/>
              </w:rPr>
              <w:t>0.53</w:t>
            </w:r>
          </w:p>
        </w:tc>
      </w:tr>
    </w:tbl>
    <w:p>
      <w:pPr>
        <w:adjustRightInd w:val="0"/>
        <w:snapToGrid w:val="0"/>
        <w:spacing w:beforeLines="50" w:line="580" w:lineRule="exact"/>
        <w:ind w:firstLine="482" w:firstLineChars="200"/>
        <w:jc w:val="center"/>
        <w:rPr>
          <w:rFonts w:ascii="Times New Roman" w:hAnsi="Times New Roman" w:eastAsia="仿宋_GB2312" w:cs="Times New Roman"/>
          <w:b/>
          <w:bCs/>
          <w:sz w:val="24"/>
        </w:rPr>
      </w:pPr>
      <w:r>
        <w:rPr>
          <w:rFonts w:hint="eastAsia" w:ascii="Times New Roman" w:hAnsi="Times New Roman" w:eastAsia="仿宋_GB2312" w:cs="Times New Roman"/>
          <w:b/>
          <w:bCs/>
          <w:sz w:val="24"/>
        </w:rPr>
        <w:t>表</w:t>
      </w:r>
      <w:r>
        <w:rPr>
          <w:rFonts w:ascii="Times New Roman" w:hAnsi="Times New Roman" w:eastAsia="仿宋_GB2312" w:cs="Times New Roman"/>
          <w:b/>
          <w:bCs/>
          <w:sz w:val="24"/>
        </w:rPr>
        <w:t>10</w:t>
      </w:r>
      <w:r>
        <w:rPr>
          <w:rFonts w:hint="eastAsia" w:ascii="Times New Roman" w:hAnsi="Times New Roman" w:eastAsia="仿宋_GB2312" w:cs="Times New Roman"/>
          <w:b/>
          <w:bCs/>
          <w:sz w:val="24"/>
        </w:rPr>
        <w:t xml:space="preserve">  </w:t>
      </w:r>
      <w:r>
        <w:rPr>
          <w:rFonts w:ascii="Times New Roman" w:hAnsi="Times New Roman" w:eastAsia="仿宋_GB2312" w:cs="Times New Roman"/>
          <w:b/>
          <w:bCs/>
          <w:sz w:val="24"/>
        </w:rPr>
        <w:t>2010-2020</w:t>
      </w:r>
      <w:r>
        <w:rPr>
          <w:rFonts w:hint="eastAsia" w:ascii="Times New Roman" w:hAnsi="Times New Roman" w:eastAsia="仿宋_GB2312" w:cs="Times New Roman"/>
          <w:b/>
          <w:bCs/>
          <w:sz w:val="24"/>
        </w:rPr>
        <w:t>年陕西汽车保有量在全国汽车保有量中占比情况（万辆）</w:t>
      </w:r>
    </w:p>
    <w:tbl>
      <w:tblPr>
        <w:tblStyle w:val="17"/>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016"/>
        <w:gridCol w:w="591"/>
        <w:gridCol w:w="591"/>
        <w:gridCol w:w="670"/>
        <w:gridCol w:w="591"/>
        <w:gridCol w:w="591"/>
        <w:gridCol w:w="591"/>
        <w:gridCol w:w="591"/>
        <w:gridCol w:w="591"/>
        <w:gridCol w:w="591"/>
        <w:gridCol w:w="554"/>
        <w:gridCol w:w="5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trPr>
        <w:tc>
          <w:tcPr>
            <w:tcW w:w="2016" w:type="dxa"/>
            <w:shd w:val="clear" w:color="auto" w:fill="auto"/>
            <w:vAlign w:val="center"/>
          </w:tcPr>
          <w:p>
            <w:pPr>
              <w:widowControl/>
              <w:jc w:val="center"/>
              <w:rPr>
                <w:rFonts w:ascii="仿宋" w:hAnsi="仿宋" w:eastAsia="仿宋" w:cs="宋体"/>
                <w:kern w:val="0"/>
                <w:sz w:val="15"/>
                <w:szCs w:val="15"/>
              </w:rPr>
            </w:pPr>
            <w:r>
              <w:rPr>
                <w:rFonts w:hint="eastAsia" w:ascii="仿宋" w:hAnsi="仿宋" w:eastAsia="仿宋" w:cs="宋体"/>
                <w:kern w:val="0"/>
                <w:sz w:val="15"/>
                <w:szCs w:val="15"/>
              </w:rPr>
              <w:t>年份</w:t>
            </w:r>
          </w:p>
        </w:tc>
        <w:tc>
          <w:tcPr>
            <w:tcW w:w="591" w:type="dxa"/>
          </w:tcPr>
          <w:p>
            <w:pPr>
              <w:widowControl/>
              <w:jc w:val="center"/>
              <w:rPr>
                <w:rFonts w:ascii="Times New Roman" w:hAnsi="Times New Roman" w:eastAsia="宋体" w:cs="Times New Roman"/>
                <w:kern w:val="0"/>
                <w:sz w:val="15"/>
                <w:szCs w:val="15"/>
              </w:rPr>
            </w:pPr>
            <w:r>
              <w:rPr>
                <w:rFonts w:hint="eastAsia" w:ascii="Times New Roman" w:hAnsi="Times New Roman" w:eastAsia="宋体" w:cs="Times New Roman"/>
                <w:kern w:val="0"/>
                <w:sz w:val="15"/>
                <w:szCs w:val="15"/>
              </w:rPr>
              <w:t>2020</w:t>
            </w:r>
          </w:p>
        </w:tc>
        <w:tc>
          <w:tcPr>
            <w:tcW w:w="591" w:type="dxa"/>
            <w:shd w:val="clear" w:color="auto" w:fill="auto"/>
            <w:vAlign w:val="center"/>
          </w:tcPr>
          <w:p>
            <w:pPr>
              <w:widowControl/>
              <w:jc w:val="center"/>
              <w:rPr>
                <w:rFonts w:ascii="Times New Roman" w:hAnsi="Times New Roman" w:eastAsia="宋体" w:cs="Times New Roman"/>
                <w:kern w:val="0"/>
                <w:sz w:val="15"/>
                <w:szCs w:val="15"/>
              </w:rPr>
            </w:pPr>
            <w:r>
              <w:rPr>
                <w:rFonts w:ascii="Times New Roman" w:hAnsi="Times New Roman" w:eastAsia="宋体" w:cs="Times New Roman"/>
                <w:kern w:val="0"/>
                <w:sz w:val="15"/>
                <w:szCs w:val="15"/>
              </w:rPr>
              <w:t>2019</w:t>
            </w:r>
          </w:p>
        </w:tc>
        <w:tc>
          <w:tcPr>
            <w:tcW w:w="670" w:type="dxa"/>
            <w:shd w:val="clear" w:color="auto" w:fill="auto"/>
            <w:vAlign w:val="center"/>
          </w:tcPr>
          <w:p>
            <w:pPr>
              <w:widowControl/>
              <w:jc w:val="center"/>
              <w:rPr>
                <w:rFonts w:ascii="Times New Roman" w:hAnsi="Times New Roman" w:eastAsia="宋体" w:cs="Times New Roman"/>
                <w:kern w:val="0"/>
                <w:sz w:val="15"/>
                <w:szCs w:val="15"/>
              </w:rPr>
            </w:pPr>
            <w:r>
              <w:rPr>
                <w:rFonts w:ascii="Times New Roman" w:hAnsi="Times New Roman" w:eastAsia="宋体" w:cs="Times New Roman"/>
                <w:kern w:val="0"/>
                <w:sz w:val="15"/>
                <w:szCs w:val="15"/>
              </w:rPr>
              <w:t>2018</w:t>
            </w:r>
          </w:p>
        </w:tc>
        <w:tc>
          <w:tcPr>
            <w:tcW w:w="591" w:type="dxa"/>
            <w:shd w:val="clear" w:color="auto" w:fill="auto"/>
            <w:vAlign w:val="center"/>
          </w:tcPr>
          <w:p>
            <w:pPr>
              <w:widowControl/>
              <w:jc w:val="center"/>
              <w:rPr>
                <w:rFonts w:ascii="Times New Roman" w:hAnsi="Times New Roman" w:eastAsia="宋体" w:cs="Times New Roman"/>
                <w:kern w:val="0"/>
                <w:sz w:val="15"/>
                <w:szCs w:val="15"/>
              </w:rPr>
            </w:pPr>
            <w:r>
              <w:rPr>
                <w:rFonts w:ascii="Times New Roman" w:hAnsi="Times New Roman" w:eastAsia="宋体" w:cs="Times New Roman"/>
                <w:kern w:val="0"/>
                <w:sz w:val="15"/>
                <w:szCs w:val="15"/>
              </w:rPr>
              <w:t>2017</w:t>
            </w:r>
          </w:p>
        </w:tc>
        <w:tc>
          <w:tcPr>
            <w:tcW w:w="591" w:type="dxa"/>
            <w:shd w:val="clear" w:color="auto" w:fill="auto"/>
            <w:vAlign w:val="center"/>
          </w:tcPr>
          <w:p>
            <w:pPr>
              <w:widowControl/>
              <w:jc w:val="center"/>
              <w:rPr>
                <w:rFonts w:ascii="Times New Roman" w:hAnsi="Times New Roman" w:eastAsia="宋体" w:cs="Times New Roman"/>
                <w:kern w:val="0"/>
                <w:sz w:val="15"/>
                <w:szCs w:val="15"/>
              </w:rPr>
            </w:pPr>
            <w:r>
              <w:rPr>
                <w:rFonts w:ascii="Times New Roman" w:hAnsi="Times New Roman" w:eastAsia="宋体" w:cs="Times New Roman"/>
                <w:kern w:val="0"/>
                <w:sz w:val="15"/>
                <w:szCs w:val="15"/>
              </w:rPr>
              <w:t>2016</w:t>
            </w:r>
          </w:p>
        </w:tc>
        <w:tc>
          <w:tcPr>
            <w:tcW w:w="591" w:type="dxa"/>
            <w:shd w:val="clear" w:color="auto" w:fill="auto"/>
            <w:vAlign w:val="center"/>
          </w:tcPr>
          <w:p>
            <w:pPr>
              <w:widowControl/>
              <w:jc w:val="center"/>
              <w:rPr>
                <w:rFonts w:ascii="Times New Roman" w:hAnsi="Times New Roman" w:eastAsia="宋体" w:cs="Times New Roman"/>
                <w:kern w:val="0"/>
                <w:sz w:val="15"/>
                <w:szCs w:val="15"/>
              </w:rPr>
            </w:pPr>
            <w:r>
              <w:rPr>
                <w:rFonts w:ascii="Times New Roman" w:hAnsi="Times New Roman" w:eastAsia="宋体" w:cs="Times New Roman"/>
                <w:kern w:val="0"/>
                <w:sz w:val="15"/>
                <w:szCs w:val="15"/>
              </w:rPr>
              <w:t>2015</w:t>
            </w:r>
          </w:p>
        </w:tc>
        <w:tc>
          <w:tcPr>
            <w:tcW w:w="591" w:type="dxa"/>
            <w:shd w:val="clear" w:color="auto" w:fill="auto"/>
            <w:vAlign w:val="center"/>
          </w:tcPr>
          <w:p>
            <w:pPr>
              <w:widowControl/>
              <w:jc w:val="center"/>
              <w:rPr>
                <w:rFonts w:ascii="Times New Roman" w:hAnsi="Times New Roman" w:eastAsia="宋体" w:cs="Times New Roman"/>
                <w:kern w:val="0"/>
                <w:sz w:val="15"/>
                <w:szCs w:val="15"/>
              </w:rPr>
            </w:pPr>
            <w:r>
              <w:rPr>
                <w:rFonts w:ascii="Times New Roman" w:hAnsi="Times New Roman" w:eastAsia="宋体" w:cs="Times New Roman"/>
                <w:kern w:val="0"/>
                <w:sz w:val="15"/>
                <w:szCs w:val="15"/>
              </w:rPr>
              <w:t>2014</w:t>
            </w:r>
          </w:p>
        </w:tc>
        <w:tc>
          <w:tcPr>
            <w:tcW w:w="591" w:type="dxa"/>
            <w:shd w:val="clear" w:color="auto" w:fill="auto"/>
            <w:vAlign w:val="center"/>
          </w:tcPr>
          <w:p>
            <w:pPr>
              <w:widowControl/>
              <w:jc w:val="center"/>
              <w:rPr>
                <w:rFonts w:ascii="Times New Roman" w:hAnsi="Times New Roman" w:eastAsia="宋体" w:cs="Times New Roman"/>
                <w:kern w:val="0"/>
                <w:sz w:val="15"/>
                <w:szCs w:val="15"/>
              </w:rPr>
            </w:pPr>
            <w:r>
              <w:rPr>
                <w:rFonts w:ascii="Times New Roman" w:hAnsi="Times New Roman" w:eastAsia="宋体" w:cs="Times New Roman"/>
                <w:kern w:val="0"/>
                <w:sz w:val="15"/>
                <w:szCs w:val="15"/>
              </w:rPr>
              <w:t>2013</w:t>
            </w:r>
          </w:p>
        </w:tc>
        <w:tc>
          <w:tcPr>
            <w:tcW w:w="591" w:type="dxa"/>
            <w:shd w:val="clear" w:color="auto" w:fill="auto"/>
            <w:vAlign w:val="center"/>
          </w:tcPr>
          <w:p>
            <w:pPr>
              <w:widowControl/>
              <w:jc w:val="center"/>
              <w:rPr>
                <w:rFonts w:ascii="Times New Roman" w:hAnsi="Times New Roman" w:eastAsia="宋体" w:cs="Times New Roman"/>
                <w:kern w:val="0"/>
                <w:sz w:val="15"/>
                <w:szCs w:val="15"/>
              </w:rPr>
            </w:pPr>
            <w:r>
              <w:rPr>
                <w:rFonts w:ascii="Times New Roman" w:hAnsi="Times New Roman" w:eastAsia="宋体" w:cs="Times New Roman"/>
                <w:kern w:val="0"/>
                <w:sz w:val="15"/>
                <w:szCs w:val="15"/>
              </w:rPr>
              <w:t>2012</w:t>
            </w:r>
          </w:p>
        </w:tc>
        <w:tc>
          <w:tcPr>
            <w:tcW w:w="554" w:type="dxa"/>
            <w:shd w:val="clear" w:color="auto" w:fill="auto"/>
            <w:vAlign w:val="center"/>
          </w:tcPr>
          <w:p>
            <w:pPr>
              <w:widowControl/>
              <w:jc w:val="center"/>
              <w:rPr>
                <w:rFonts w:ascii="Times New Roman" w:hAnsi="Times New Roman" w:eastAsia="宋体" w:cs="Times New Roman"/>
                <w:kern w:val="0"/>
                <w:sz w:val="15"/>
                <w:szCs w:val="15"/>
              </w:rPr>
            </w:pPr>
            <w:r>
              <w:rPr>
                <w:rFonts w:ascii="Times New Roman" w:hAnsi="Times New Roman" w:eastAsia="宋体" w:cs="Times New Roman"/>
                <w:kern w:val="0"/>
                <w:sz w:val="15"/>
                <w:szCs w:val="15"/>
              </w:rPr>
              <w:t>2011</w:t>
            </w:r>
          </w:p>
        </w:tc>
        <w:tc>
          <w:tcPr>
            <w:tcW w:w="554" w:type="dxa"/>
            <w:shd w:val="clear" w:color="auto" w:fill="auto"/>
            <w:vAlign w:val="center"/>
          </w:tcPr>
          <w:p>
            <w:pPr>
              <w:widowControl/>
              <w:jc w:val="center"/>
              <w:rPr>
                <w:rFonts w:ascii="Times New Roman" w:hAnsi="Times New Roman" w:eastAsia="宋体" w:cs="Times New Roman"/>
                <w:kern w:val="0"/>
                <w:sz w:val="15"/>
                <w:szCs w:val="15"/>
              </w:rPr>
            </w:pPr>
            <w:r>
              <w:rPr>
                <w:rFonts w:ascii="Times New Roman" w:hAnsi="Times New Roman" w:eastAsia="宋体" w:cs="Times New Roman"/>
                <w:kern w:val="0"/>
                <w:sz w:val="15"/>
                <w:szCs w:val="15"/>
              </w:rPr>
              <w:t>2010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2016" w:type="dxa"/>
            <w:shd w:val="clear" w:color="auto" w:fill="auto"/>
            <w:vAlign w:val="center"/>
          </w:tcPr>
          <w:p>
            <w:pPr>
              <w:widowControl/>
              <w:jc w:val="center"/>
              <w:rPr>
                <w:rFonts w:ascii="仿宋" w:hAnsi="仿宋" w:eastAsia="仿宋" w:cs="宋体"/>
                <w:kern w:val="0"/>
                <w:sz w:val="15"/>
                <w:szCs w:val="15"/>
              </w:rPr>
            </w:pPr>
            <w:r>
              <w:rPr>
                <w:rFonts w:hint="eastAsia" w:ascii="仿宋" w:hAnsi="仿宋" w:eastAsia="仿宋" w:cs="宋体"/>
                <w:kern w:val="0"/>
                <w:sz w:val="15"/>
                <w:szCs w:val="15"/>
              </w:rPr>
              <w:t>陕西民用汽车拥有量</w:t>
            </w:r>
            <w:r>
              <w:rPr>
                <w:rFonts w:ascii="仿宋" w:hAnsi="仿宋" w:eastAsia="仿宋" w:cs="宋体"/>
                <w:kern w:val="0"/>
                <w:sz w:val="15"/>
              </w:rPr>
              <w:t>(万辆)</w:t>
            </w:r>
          </w:p>
        </w:tc>
        <w:tc>
          <w:tcPr>
            <w:tcW w:w="591" w:type="dxa"/>
          </w:tcPr>
          <w:p>
            <w:pPr>
              <w:widowControl/>
              <w:jc w:val="center"/>
              <w:rPr>
                <w:rFonts w:ascii="Times New Roman" w:hAnsi="Times New Roman" w:eastAsia="宋体" w:cs="Times New Roman"/>
                <w:kern w:val="0"/>
                <w:sz w:val="15"/>
                <w:szCs w:val="15"/>
              </w:rPr>
            </w:pPr>
            <w:r>
              <w:rPr>
                <w:rFonts w:hint="eastAsia" w:ascii="Times New Roman" w:hAnsi="Times New Roman" w:eastAsia="宋体" w:cs="Times New Roman"/>
                <w:kern w:val="0"/>
                <w:sz w:val="15"/>
                <w:szCs w:val="15"/>
              </w:rPr>
              <w:t>739</w:t>
            </w:r>
          </w:p>
        </w:tc>
        <w:tc>
          <w:tcPr>
            <w:tcW w:w="591" w:type="dxa"/>
            <w:shd w:val="clear" w:color="auto" w:fill="auto"/>
            <w:vAlign w:val="center"/>
          </w:tcPr>
          <w:p>
            <w:pPr>
              <w:widowControl/>
              <w:jc w:val="center"/>
              <w:rPr>
                <w:rFonts w:ascii="Times New Roman" w:hAnsi="Times New Roman" w:eastAsia="宋体" w:cs="Times New Roman"/>
                <w:kern w:val="0"/>
                <w:sz w:val="15"/>
                <w:szCs w:val="15"/>
              </w:rPr>
            </w:pPr>
            <w:r>
              <w:rPr>
                <w:rFonts w:ascii="Times New Roman" w:hAnsi="Times New Roman" w:eastAsia="宋体" w:cs="Times New Roman"/>
                <w:kern w:val="0"/>
                <w:sz w:val="15"/>
                <w:szCs w:val="15"/>
              </w:rPr>
              <w:t>682</w:t>
            </w:r>
          </w:p>
        </w:tc>
        <w:tc>
          <w:tcPr>
            <w:tcW w:w="670" w:type="dxa"/>
            <w:shd w:val="clear" w:color="auto" w:fill="auto"/>
            <w:vAlign w:val="center"/>
          </w:tcPr>
          <w:p>
            <w:pPr>
              <w:widowControl/>
              <w:jc w:val="center"/>
              <w:rPr>
                <w:rFonts w:ascii="Times New Roman" w:hAnsi="Times New Roman" w:eastAsia="宋体" w:cs="Times New Roman"/>
                <w:kern w:val="0"/>
                <w:sz w:val="15"/>
                <w:szCs w:val="15"/>
              </w:rPr>
            </w:pPr>
            <w:r>
              <w:rPr>
                <w:rFonts w:ascii="Times New Roman" w:hAnsi="Times New Roman" w:eastAsia="宋体" w:cs="Times New Roman"/>
                <w:kern w:val="0"/>
                <w:sz w:val="15"/>
                <w:szCs w:val="15"/>
              </w:rPr>
              <w:t>616</w:t>
            </w:r>
          </w:p>
        </w:tc>
        <w:tc>
          <w:tcPr>
            <w:tcW w:w="591" w:type="dxa"/>
            <w:shd w:val="clear" w:color="auto" w:fill="auto"/>
            <w:vAlign w:val="center"/>
          </w:tcPr>
          <w:p>
            <w:pPr>
              <w:widowControl/>
              <w:jc w:val="center"/>
              <w:rPr>
                <w:rFonts w:ascii="Times New Roman" w:hAnsi="Times New Roman" w:eastAsia="宋体" w:cs="Times New Roman"/>
                <w:kern w:val="0"/>
                <w:sz w:val="15"/>
                <w:szCs w:val="15"/>
              </w:rPr>
            </w:pPr>
            <w:r>
              <w:rPr>
                <w:rFonts w:ascii="Times New Roman" w:hAnsi="Times New Roman" w:eastAsia="宋体" w:cs="Times New Roman"/>
                <w:kern w:val="0"/>
                <w:sz w:val="15"/>
                <w:szCs w:val="15"/>
              </w:rPr>
              <w:t>549</w:t>
            </w:r>
          </w:p>
        </w:tc>
        <w:tc>
          <w:tcPr>
            <w:tcW w:w="591" w:type="dxa"/>
            <w:shd w:val="clear" w:color="auto" w:fill="auto"/>
            <w:vAlign w:val="center"/>
          </w:tcPr>
          <w:p>
            <w:pPr>
              <w:widowControl/>
              <w:jc w:val="center"/>
              <w:rPr>
                <w:rFonts w:ascii="Times New Roman" w:hAnsi="Times New Roman" w:eastAsia="宋体" w:cs="Times New Roman"/>
                <w:kern w:val="0"/>
                <w:sz w:val="15"/>
                <w:szCs w:val="15"/>
              </w:rPr>
            </w:pPr>
            <w:r>
              <w:rPr>
                <w:rFonts w:ascii="Times New Roman" w:hAnsi="Times New Roman" w:eastAsia="宋体" w:cs="Times New Roman"/>
                <w:kern w:val="0"/>
                <w:sz w:val="15"/>
                <w:szCs w:val="15"/>
              </w:rPr>
              <w:t>491</w:t>
            </w:r>
          </w:p>
        </w:tc>
        <w:tc>
          <w:tcPr>
            <w:tcW w:w="591" w:type="dxa"/>
            <w:shd w:val="clear" w:color="auto" w:fill="auto"/>
            <w:vAlign w:val="center"/>
          </w:tcPr>
          <w:p>
            <w:pPr>
              <w:widowControl/>
              <w:jc w:val="center"/>
              <w:rPr>
                <w:rFonts w:ascii="Times New Roman" w:hAnsi="Times New Roman" w:eastAsia="宋体" w:cs="Times New Roman"/>
                <w:kern w:val="0"/>
                <w:sz w:val="15"/>
                <w:szCs w:val="15"/>
              </w:rPr>
            </w:pPr>
            <w:r>
              <w:rPr>
                <w:rFonts w:ascii="Times New Roman" w:hAnsi="Times New Roman" w:eastAsia="宋体" w:cs="Times New Roman"/>
                <w:kern w:val="0"/>
                <w:sz w:val="15"/>
                <w:szCs w:val="15"/>
              </w:rPr>
              <w:t>438</w:t>
            </w:r>
          </w:p>
        </w:tc>
        <w:tc>
          <w:tcPr>
            <w:tcW w:w="591" w:type="dxa"/>
            <w:shd w:val="clear" w:color="auto" w:fill="auto"/>
            <w:vAlign w:val="center"/>
          </w:tcPr>
          <w:p>
            <w:pPr>
              <w:widowControl/>
              <w:jc w:val="center"/>
              <w:rPr>
                <w:rFonts w:ascii="Times New Roman" w:hAnsi="Times New Roman" w:eastAsia="宋体" w:cs="Times New Roman"/>
                <w:kern w:val="0"/>
                <w:sz w:val="15"/>
                <w:szCs w:val="15"/>
              </w:rPr>
            </w:pPr>
            <w:r>
              <w:rPr>
                <w:rFonts w:ascii="Times New Roman" w:hAnsi="Times New Roman" w:eastAsia="宋体" w:cs="Times New Roman"/>
                <w:kern w:val="0"/>
                <w:sz w:val="15"/>
                <w:szCs w:val="15"/>
              </w:rPr>
              <w:t>384</w:t>
            </w:r>
          </w:p>
        </w:tc>
        <w:tc>
          <w:tcPr>
            <w:tcW w:w="591" w:type="dxa"/>
            <w:shd w:val="clear" w:color="auto" w:fill="auto"/>
            <w:vAlign w:val="center"/>
          </w:tcPr>
          <w:p>
            <w:pPr>
              <w:widowControl/>
              <w:jc w:val="center"/>
              <w:rPr>
                <w:rFonts w:ascii="Times New Roman" w:hAnsi="Times New Roman" w:eastAsia="宋体" w:cs="Times New Roman"/>
                <w:kern w:val="0"/>
                <w:sz w:val="15"/>
                <w:szCs w:val="15"/>
              </w:rPr>
            </w:pPr>
            <w:r>
              <w:rPr>
                <w:rFonts w:ascii="Times New Roman" w:hAnsi="Times New Roman" w:eastAsia="宋体" w:cs="Times New Roman"/>
                <w:kern w:val="0"/>
                <w:sz w:val="15"/>
                <w:szCs w:val="15"/>
              </w:rPr>
              <w:t>336</w:t>
            </w:r>
          </w:p>
        </w:tc>
        <w:tc>
          <w:tcPr>
            <w:tcW w:w="591" w:type="dxa"/>
            <w:shd w:val="clear" w:color="auto" w:fill="auto"/>
            <w:vAlign w:val="center"/>
          </w:tcPr>
          <w:p>
            <w:pPr>
              <w:widowControl/>
              <w:jc w:val="center"/>
              <w:rPr>
                <w:rFonts w:ascii="Times New Roman" w:hAnsi="Times New Roman" w:eastAsia="宋体" w:cs="Times New Roman"/>
                <w:kern w:val="0"/>
                <w:sz w:val="15"/>
                <w:szCs w:val="15"/>
              </w:rPr>
            </w:pPr>
            <w:r>
              <w:rPr>
                <w:rFonts w:ascii="Times New Roman" w:hAnsi="Times New Roman" w:eastAsia="宋体" w:cs="Times New Roman"/>
                <w:kern w:val="0"/>
                <w:sz w:val="15"/>
                <w:szCs w:val="15"/>
              </w:rPr>
              <w:t>284</w:t>
            </w:r>
          </w:p>
        </w:tc>
        <w:tc>
          <w:tcPr>
            <w:tcW w:w="554" w:type="dxa"/>
            <w:shd w:val="clear" w:color="auto" w:fill="auto"/>
            <w:vAlign w:val="center"/>
          </w:tcPr>
          <w:p>
            <w:pPr>
              <w:widowControl/>
              <w:jc w:val="center"/>
              <w:rPr>
                <w:rFonts w:ascii="Times New Roman" w:hAnsi="Times New Roman" w:eastAsia="宋体" w:cs="Times New Roman"/>
                <w:kern w:val="0"/>
                <w:sz w:val="15"/>
                <w:szCs w:val="15"/>
              </w:rPr>
            </w:pPr>
            <w:r>
              <w:rPr>
                <w:rFonts w:ascii="Times New Roman" w:hAnsi="Times New Roman" w:eastAsia="宋体" w:cs="Times New Roman"/>
                <w:kern w:val="0"/>
                <w:sz w:val="15"/>
                <w:szCs w:val="15"/>
              </w:rPr>
              <w:t>236</w:t>
            </w:r>
          </w:p>
        </w:tc>
        <w:tc>
          <w:tcPr>
            <w:tcW w:w="554" w:type="dxa"/>
            <w:shd w:val="clear" w:color="auto" w:fill="auto"/>
            <w:vAlign w:val="center"/>
          </w:tcPr>
          <w:p>
            <w:pPr>
              <w:widowControl/>
              <w:jc w:val="center"/>
              <w:rPr>
                <w:rFonts w:ascii="Times New Roman" w:hAnsi="Times New Roman" w:eastAsia="宋体" w:cs="Times New Roman"/>
                <w:kern w:val="0"/>
                <w:sz w:val="15"/>
                <w:szCs w:val="15"/>
              </w:rPr>
            </w:pPr>
            <w:r>
              <w:rPr>
                <w:rFonts w:ascii="Times New Roman" w:hAnsi="Times New Roman" w:eastAsia="宋体" w:cs="Times New Roman"/>
                <w:kern w:val="0"/>
                <w:sz w:val="15"/>
                <w:szCs w:val="15"/>
              </w:rPr>
              <w:t>190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2016" w:type="dxa"/>
            <w:shd w:val="clear" w:color="auto" w:fill="auto"/>
            <w:vAlign w:val="center"/>
          </w:tcPr>
          <w:p>
            <w:pPr>
              <w:widowControl/>
              <w:jc w:val="center"/>
              <w:rPr>
                <w:rFonts w:ascii="仿宋" w:hAnsi="仿宋" w:eastAsia="仿宋" w:cs="宋体"/>
                <w:kern w:val="0"/>
                <w:sz w:val="15"/>
                <w:szCs w:val="15"/>
              </w:rPr>
            </w:pPr>
            <w:r>
              <w:rPr>
                <w:rFonts w:hint="eastAsia" w:ascii="仿宋" w:hAnsi="仿宋" w:eastAsia="仿宋" w:cs="宋体"/>
                <w:kern w:val="0"/>
                <w:sz w:val="15"/>
                <w:szCs w:val="15"/>
              </w:rPr>
              <w:t>全国民用汽车拥有量</w:t>
            </w:r>
            <w:r>
              <w:rPr>
                <w:rFonts w:ascii="仿宋" w:hAnsi="仿宋" w:eastAsia="仿宋" w:cs="宋体"/>
                <w:kern w:val="0"/>
                <w:sz w:val="15"/>
              </w:rPr>
              <w:t>(万辆)</w:t>
            </w:r>
          </w:p>
        </w:tc>
        <w:tc>
          <w:tcPr>
            <w:tcW w:w="591" w:type="dxa"/>
          </w:tcPr>
          <w:p>
            <w:pPr>
              <w:widowControl/>
              <w:jc w:val="center"/>
              <w:rPr>
                <w:rFonts w:ascii="Times New Roman" w:hAnsi="Times New Roman" w:eastAsia="宋体" w:cs="Times New Roman"/>
                <w:kern w:val="0"/>
                <w:sz w:val="15"/>
                <w:szCs w:val="15"/>
              </w:rPr>
            </w:pPr>
            <w:r>
              <w:rPr>
                <w:rFonts w:hint="eastAsia" w:ascii="Times New Roman" w:hAnsi="Times New Roman" w:eastAsia="宋体" w:cs="Times New Roman"/>
                <w:kern w:val="0"/>
                <w:sz w:val="15"/>
                <w:szCs w:val="15"/>
              </w:rPr>
              <w:t>28100</w:t>
            </w:r>
          </w:p>
        </w:tc>
        <w:tc>
          <w:tcPr>
            <w:tcW w:w="591" w:type="dxa"/>
            <w:shd w:val="clear" w:color="auto" w:fill="auto"/>
            <w:vAlign w:val="center"/>
          </w:tcPr>
          <w:p>
            <w:pPr>
              <w:widowControl/>
              <w:jc w:val="center"/>
              <w:rPr>
                <w:rFonts w:ascii="Times New Roman" w:hAnsi="Times New Roman" w:eastAsia="宋体" w:cs="Times New Roman"/>
                <w:kern w:val="0"/>
                <w:sz w:val="15"/>
                <w:szCs w:val="15"/>
              </w:rPr>
            </w:pPr>
            <w:r>
              <w:rPr>
                <w:rFonts w:ascii="Times New Roman" w:hAnsi="Times New Roman" w:eastAsia="宋体" w:cs="Times New Roman"/>
                <w:kern w:val="0"/>
                <w:sz w:val="15"/>
                <w:szCs w:val="15"/>
              </w:rPr>
              <w:t>25387</w:t>
            </w:r>
          </w:p>
        </w:tc>
        <w:tc>
          <w:tcPr>
            <w:tcW w:w="670" w:type="dxa"/>
            <w:shd w:val="clear" w:color="auto" w:fill="auto"/>
            <w:vAlign w:val="center"/>
          </w:tcPr>
          <w:p>
            <w:pPr>
              <w:widowControl/>
              <w:jc w:val="center"/>
              <w:rPr>
                <w:rFonts w:ascii="Times New Roman" w:hAnsi="Times New Roman" w:eastAsia="宋体" w:cs="Times New Roman"/>
                <w:kern w:val="0"/>
                <w:sz w:val="15"/>
                <w:szCs w:val="15"/>
              </w:rPr>
            </w:pPr>
            <w:r>
              <w:rPr>
                <w:rFonts w:ascii="Times New Roman" w:hAnsi="Times New Roman" w:eastAsia="宋体" w:cs="Times New Roman"/>
                <w:kern w:val="0"/>
                <w:sz w:val="15"/>
                <w:szCs w:val="15"/>
              </w:rPr>
              <w:t>23231</w:t>
            </w:r>
          </w:p>
        </w:tc>
        <w:tc>
          <w:tcPr>
            <w:tcW w:w="591" w:type="dxa"/>
            <w:shd w:val="clear" w:color="auto" w:fill="auto"/>
            <w:vAlign w:val="center"/>
          </w:tcPr>
          <w:p>
            <w:pPr>
              <w:widowControl/>
              <w:jc w:val="center"/>
              <w:rPr>
                <w:rFonts w:ascii="Times New Roman" w:hAnsi="Times New Roman" w:eastAsia="宋体" w:cs="Times New Roman"/>
                <w:kern w:val="0"/>
                <w:sz w:val="15"/>
                <w:szCs w:val="15"/>
              </w:rPr>
            </w:pPr>
            <w:r>
              <w:rPr>
                <w:rFonts w:ascii="Times New Roman" w:hAnsi="Times New Roman" w:eastAsia="宋体" w:cs="Times New Roman"/>
                <w:kern w:val="0"/>
                <w:sz w:val="15"/>
                <w:szCs w:val="15"/>
              </w:rPr>
              <w:t>20906</w:t>
            </w:r>
          </w:p>
        </w:tc>
        <w:tc>
          <w:tcPr>
            <w:tcW w:w="591" w:type="dxa"/>
            <w:shd w:val="clear" w:color="auto" w:fill="auto"/>
            <w:vAlign w:val="center"/>
          </w:tcPr>
          <w:p>
            <w:pPr>
              <w:widowControl/>
              <w:jc w:val="center"/>
              <w:rPr>
                <w:rFonts w:ascii="Times New Roman" w:hAnsi="Times New Roman" w:eastAsia="宋体" w:cs="Times New Roman"/>
                <w:kern w:val="0"/>
                <w:sz w:val="15"/>
                <w:szCs w:val="15"/>
              </w:rPr>
            </w:pPr>
            <w:r>
              <w:rPr>
                <w:rFonts w:ascii="Times New Roman" w:hAnsi="Times New Roman" w:eastAsia="宋体" w:cs="Times New Roman"/>
                <w:kern w:val="0"/>
                <w:sz w:val="15"/>
                <w:szCs w:val="15"/>
              </w:rPr>
              <w:t>18574</w:t>
            </w:r>
          </w:p>
        </w:tc>
        <w:tc>
          <w:tcPr>
            <w:tcW w:w="591" w:type="dxa"/>
            <w:shd w:val="clear" w:color="auto" w:fill="auto"/>
            <w:vAlign w:val="center"/>
          </w:tcPr>
          <w:p>
            <w:pPr>
              <w:widowControl/>
              <w:jc w:val="center"/>
              <w:rPr>
                <w:rFonts w:ascii="Times New Roman" w:hAnsi="Times New Roman" w:eastAsia="宋体" w:cs="Times New Roman"/>
                <w:kern w:val="0"/>
                <w:sz w:val="15"/>
                <w:szCs w:val="15"/>
              </w:rPr>
            </w:pPr>
            <w:r>
              <w:rPr>
                <w:rFonts w:ascii="Times New Roman" w:hAnsi="Times New Roman" w:eastAsia="宋体" w:cs="Times New Roman"/>
                <w:kern w:val="0"/>
                <w:sz w:val="15"/>
                <w:szCs w:val="15"/>
              </w:rPr>
              <w:t>16284</w:t>
            </w:r>
          </w:p>
        </w:tc>
        <w:tc>
          <w:tcPr>
            <w:tcW w:w="591" w:type="dxa"/>
            <w:shd w:val="clear" w:color="auto" w:fill="auto"/>
            <w:vAlign w:val="center"/>
          </w:tcPr>
          <w:p>
            <w:pPr>
              <w:widowControl/>
              <w:jc w:val="center"/>
              <w:rPr>
                <w:rFonts w:ascii="Times New Roman" w:hAnsi="Times New Roman" w:eastAsia="宋体" w:cs="Times New Roman"/>
                <w:kern w:val="0"/>
                <w:sz w:val="15"/>
                <w:szCs w:val="15"/>
              </w:rPr>
            </w:pPr>
            <w:r>
              <w:rPr>
                <w:rFonts w:ascii="Times New Roman" w:hAnsi="Times New Roman" w:eastAsia="宋体" w:cs="Times New Roman"/>
                <w:kern w:val="0"/>
                <w:sz w:val="15"/>
                <w:szCs w:val="15"/>
              </w:rPr>
              <w:t>14598</w:t>
            </w:r>
          </w:p>
        </w:tc>
        <w:tc>
          <w:tcPr>
            <w:tcW w:w="591" w:type="dxa"/>
            <w:shd w:val="clear" w:color="auto" w:fill="auto"/>
            <w:vAlign w:val="center"/>
          </w:tcPr>
          <w:p>
            <w:pPr>
              <w:widowControl/>
              <w:jc w:val="center"/>
              <w:rPr>
                <w:rFonts w:ascii="Times New Roman" w:hAnsi="Times New Roman" w:eastAsia="宋体" w:cs="Times New Roman"/>
                <w:kern w:val="0"/>
                <w:sz w:val="15"/>
                <w:szCs w:val="15"/>
              </w:rPr>
            </w:pPr>
            <w:r>
              <w:rPr>
                <w:rFonts w:ascii="Times New Roman" w:hAnsi="Times New Roman" w:eastAsia="宋体" w:cs="Times New Roman"/>
                <w:kern w:val="0"/>
                <w:sz w:val="15"/>
                <w:szCs w:val="15"/>
              </w:rPr>
              <w:t>12670</w:t>
            </w:r>
          </w:p>
        </w:tc>
        <w:tc>
          <w:tcPr>
            <w:tcW w:w="591" w:type="dxa"/>
            <w:shd w:val="clear" w:color="auto" w:fill="auto"/>
            <w:vAlign w:val="center"/>
          </w:tcPr>
          <w:p>
            <w:pPr>
              <w:widowControl/>
              <w:jc w:val="center"/>
              <w:rPr>
                <w:rFonts w:ascii="Times New Roman" w:hAnsi="Times New Roman" w:eastAsia="宋体" w:cs="Times New Roman"/>
                <w:kern w:val="0"/>
                <w:sz w:val="15"/>
                <w:szCs w:val="15"/>
              </w:rPr>
            </w:pPr>
            <w:r>
              <w:rPr>
                <w:rFonts w:ascii="Times New Roman" w:hAnsi="Times New Roman" w:eastAsia="宋体" w:cs="Times New Roman"/>
                <w:kern w:val="0"/>
                <w:sz w:val="15"/>
                <w:szCs w:val="15"/>
              </w:rPr>
              <w:t>10933</w:t>
            </w:r>
          </w:p>
        </w:tc>
        <w:tc>
          <w:tcPr>
            <w:tcW w:w="554" w:type="dxa"/>
            <w:shd w:val="clear" w:color="auto" w:fill="auto"/>
            <w:vAlign w:val="center"/>
          </w:tcPr>
          <w:p>
            <w:pPr>
              <w:widowControl/>
              <w:jc w:val="center"/>
              <w:rPr>
                <w:rFonts w:ascii="Times New Roman" w:hAnsi="Times New Roman" w:eastAsia="宋体" w:cs="Times New Roman"/>
                <w:kern w:val="0"/>
                <w:sz w:val="15"/>
                <w:szCs w:val="15"/>
              </w:rPr>
            </w:pPr>
            <w:r>
              <w:rPr>
                <w:rFonts w:ascii="Times New Roman" w:hAnsi="Times New Roman" w:eastAsia="宋体" w:cs="Times New Roman"/>
                <w:kern w:val="0"/>
                <w:sz w:val="15"/>
                <w:szCs w:val="15"/>
              </w:rPr>
              <w:t>9356</w:t>
            </w:r>
          </w:p>
        </w:tc>
        <w:tc>
          <w:tcPr>
            <w:tcW w:w="554" w:type="dxa"/>
            <w:shd w:val="clear" w:color="auto" w:fill="auto"/>
            <w:vAlign w:val="center"/>
          </w:tcPr>
          <w:p>
            <w:pPr>
              <w:widowControl/>
              <w:jc w:val="center"/>
              <w:rPr>
                <w:rFonts w:ascii="Times New Roman" w:hAnsi="Times New Roman" w:eastAsia="宋体" w:cs="Times New Roman"/>
                <w:kern w:val="0"/>
                <w:sz w:val="15"/>
                <w:szCs w:val="15"/>
              </w:rPr>
            </w:pPr>
            <w:r>
              <w:rPr>
                <w:rFonts w:ascii="Times New Roman" w:hAnsi="Times New Roman" w:eastAsia="宋体" w:cs="Times New Roman"/>
                <w:kern w:val="0"/>
                <w:sz w:val="15"/>
                <w:szCs w:val="15"/>
              </w:rPr>
              <w:t>7801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trPr>
        <w:tc>
          <w:tcPr>
            <w:tcW w:w="2016" w:type="dxa"/>
            <w:shd w:val="clear" w:color="auto" w:fill="auto"/>
            <w:vAlign w:val="center"/>
          </w:tcPr>
          <w:p>
            <w:pPr>
              <w:widowControl/>
              <w:jc w:val="center"/>
              <w:rPr>
                <w:rFonts w:ascii="宋体" w:hAnsi="宋体" w:eastAsia="宋体" w:cs="宋体"/>
                <w:b/>
                <w:bCs/>
                <w:kern w:val="0"/>
                <w:sz w:val="24"/>
              </w:rPr>
            </w:pPr>
            <w:r>
              <w:rPr>
                <w:rFonts w:hint="eastAsia" w:ascii="仿宋" w:hAnsi="仿宋" w:eastAsia="仿宋" w:cs="宋体"/>
                <w:kern w:val="0"/>
                <w:sz w:val="15"/>
                <w:szCs w:val="15"/>
              </w:rPr>
              <w:t>占比（%）</w:t>
            </w:r>
          </w:p>
        </w:tc>
        <w:tc>
          <w:tcPr>
            <w:tcW w:w="591" w:type="dxa"/>
          </w:tcPr>
          <w:p>
            <w:pPr>
              <w:widowControl/>
              <w:jc w:val="center"/>
              <w:rPr>
                <w:rFonts w:ascii="Times New Roman" w:hAnsi="Times New Roman" w:eastAsia="宋体" w:cs="Times New Roman"/>
                <w:kern w:val="0"/>
                <w:sz w:val="15"/>
                <w:szCs w:val="15"/>
              </w:rPr>
            </w:pPr>
            <w:r>
              <w:rPr>
                <w:rFonts w:hint="eastAsia" w:ascii="Times New Roman" w:hAnsi="Times New Roman" w:eastAsia="宋体" w:cs="Times New Roman"/>
                <w:kern w:val="0"/>
                <w:sz w:val="15"/>
                <w:szCs w:val="15"/>
              </w:rPr>
              <w:t>2.63</w:t>
            </w:r>
          </w:p>
        </w:tc>
        <w:tc>
          <w:tcPr>
            <w:tcW w:w="591" w:type="dxa"/>
            <w:shd w:val="clear" w:color="auto" w:fill="auto"/>
            <w:vAlign w:val="center"/>
          </w:tcPr>
          <w:p>
            <w:pPr>
              <w:widowControl/>
              <w:jc w:val="center"/>
              <w:rPr>
                <w:rFonts w:ascii="Times New Roman" w:hAnsi="Times New Roman" w:eastAsia="宋体" w:cs="Times New Roman"/>
                <w:kern w:val="0"/>
                <w:sz w:val="15"/>
                <w:szCs w:val="15"/>
              </w:rPr>
            </w:pPr>
            <w:r>
              <w:rPr>
                <w:rFonts w:hint="eastAsia" w:ascii="Times New Roman" w:hAnsi="Times New Roman" w:eastAsia="宋体" w:cs="Times New Roman"/>
                <w:kern w:val="0"/>
                <w:sz w:val="15"/>
                <w:szCs w:val="15"/>
              </w:rPr>
              <w:t>2.686</w:t>
            </w:r>
          </w:p>
        </w:tc>
        <w:tc>
          <w:tcPr>
            <w:tcW w:w="670" w:type="dxa"/>
            <w:shd w:val="clear" w:color="auto" w:fill="auto"/>
            <w:vAlign w:val="center"/>
          </w:tcPr>
          <w:p>
            <w:pPr>
              <w:widowControl/>
              <w:jc w:val="center"/>
              <w:rPr>
                <w:rFonts w:ascii="Times New Roman" w:hAnsi="Times New Roman" w:eastAsia="宋体" w:cs="Times New Roman"/>
                <w:kern w:val="0"/>
                <w:sz w:val="15"/>
                <w:szCs w:val="15"/>
              </w:rPr>
            </w:pPr>
            <w:r>
              <w:rPr>
                <w:rFonts w:hint="eastAsia" w:ascii="Times New Roman" w:hAnsi="Times New Roman" w:eastAsia="宋体" w:cs="Times New Roman"/>
                <w:kern w:val="0"/>
                <w:sz w:val="15"/>
                <w:szCs w:val="15"/>
              </w:rPr>
              <w:t>2.652</w:t>
            </w:r>
          </w:p>
        </w:tc>
        <w:tc>
          <w:tcPr>
            <w:tcW w:w="591" w:type="dxa"/>
            <w:shd w:val="clear" w:color="auto" w:fill="auto"/>
            <w:vAlign w:val="center"/>
          </w:tcPr>
          <w:p>
            <w:pPr>
              <w:widowControl/>
              <w:jc w:val="center"/>
              <w:rPr>
                <w:rFonts w:ascii="Times New Roman" w:hAnsi="Times New Roman" w:eastAsia="宋体" w:cs="Times New Roman"/>
                <w:kern w:val="0"/>
                <w:sz w:val="15"/>
                <w:szCs w:val="15"/>
              </w:rPr>
            </w:pPr>
            <w:r>
              <w:rPr>
                <w:rFonts w:hint="eastAsia" w:ascii="Times New Roman" w:hAnsi="Times New Roman" w:eastAsia="宋体" w:cs="Times New Roman"/>
                <w:kern w:val="0"/>
                <w:sz w:val="15"/>
                <w:szCs w:val="15"/>
              </w:rPr>
              <w:t>2.626</w:t>
            </w:r>
          </w:p>
        </w:tc>
        <w:tc>
          <w:tcPr>
            <w:tcW w:w="591" w:type="dxa"/>
            <w:shd w:val="clear" w:color="auto" w:fill="auto"/>
            <w:vAlign w:val="center"/>
          </w:tcPr>
          <w:p>
            <w:pPr>
              <w:widowControl/>
              <w:jc w:val="center"/>
              <w:rPr>
                <w:rFonts w:ascii="Times New Roman" w:hAnsi="Times New Roman" w:eastAsia="宋体" w:cs="Times New Roman"/>
                <w:kern w:val="0"/>
                <w:sz w:val="15"/>
                <w:szCs w:val="15"/>
              </w:rPr>
            </w:pPr>
            <w:r>
              <w:rPr>
                <w:rFonts w:hint="eastAsia" w:ascii="Times New Roman" w:hAnsi="Times New Roman" w:eastAsia="宋体" w:cs="Times New Roman"/>
                <w:kern w:val="0"/>
                <w:sz w:val="15"/>
                <w:szCs w:val="15"/>
              </w:rPr>
              <w:t>2.643</w:t>
            </w:r>
          </w:p>
        </w:tc>
        <w:tc>
          <w:tcPr>
            <w:tcW w:w="591" w:type="dxa"/>
            <w:shd w:val="clear" w:color="auto" w:fill="auto"/>
            <w:vAlign w:val="center"/>
          </w:tcPr>
          <w:p>
            <w:pPr>
              <w:widowControl/>
              <w:jc w:val="center"/>
              <w:rPr>
                <w:rFonts w:ascii="Times New Roman" w:hAnsi="Times New Roman" w:eastAsia="宋体" w:cs="Times New Roman"/>
                <w:kern w:val="0"/>
                <w:sz w:val="15"/>
                <w:szCs w:val="15"/>
              </w:rPr>
            </w:pPr>
            <w:r>
              <w:rPr>
                <w:rFonts w:hint="eastAsia" w:ascii="Times New Roman" w:hAnsi="Times New Roman" w:eastAsia="宋体" w:cs="Times New Roman"/>
                <w:kern w:val="0"/>
                <w:sz w:val="15"/>
                <w:szCs w:val="15"/>
              </w:rPr>
              <w:t>2.689</w:t>
            </w:r>
          </w:p>
        </w:tc>
        <w:tc>
          <w:tcPr>
            <w:tcW w:w="591" w:type="dxa"/>
            <w:shd w:val="clear" w:color="auto" w:fill="auto"/>
            <w:vAlign w:val="center"/>
          </w:tcPr>
          <w:p>
            <w:pPr>
              <w:widowControl/>
              <w:jc w:val="center"/>
              <w:rPr>
                <w:rFonts w:ascii="Times New Roman" w:hAnsi="Times New Roman" w:eastAsia="宋体" w:cs="Times New Roman"/>
                <w:kern w:val="0"/>
                <w:sz w:val="15"/>
                <w:szCs w:val="15"/>
              </w:rPr>
            </w:pPr>
            <w:r>
              <w:rPr>
                <w:rFonts w:hint="eastAsia" w:ascii="Times New Roman" w:hAnsi="Times New Roman" w:eastAsia="宋体" w:cs="Times New Roman"/>
                <w:kern w:val="0"/>
                <w:sz w:val="15"/>
                <w:szCs w:val="15"/>
              </w:rPr>
              <w:t>2.631</w:t>
            </w:r>
          </w:p>
        </w:tc>
        <w:tc>
          <w:tcPr>
            <w:tcW w:w="591" w:type="dxa"/>
            <w:shd w:val="clear" w:color="auto" w:fill="auto"/>
            <w:vAlign w:val="center"/>
          </w:tcPr>
          <w:p>
            <w:pPr>
              <w:widowControl/>
              <w:jc w:val="center"/>
              <w:rPr>
                <w:rFonts w:ascii="Times New Roman" w:hAnsi="Times New Roman" w:eastAsia="宋体" w:cs="Times New Roman"/>
                <w:kern w:val="0"/>
                <w:sz w:val="15"/>
                <w:szCs w:val="15"/>
              </w:rPr>
            </w:pPr>
            <w:r>
              <w:rPr>
                <w:rFonts w:hint="eastAsia" w:ascii="Times New Roman" w:hAnsi="Times New Roman" w:eastAsia="宋体" w:cs="Times New Roman"/>
                <w:kern w:val="0"/>
                <w:sz w:val="15"/>
                <w:szCs w:val="15"/>
              </w:rPr>
              <w:t>2.652</w:t>
            </w:r>
          </w:p>
        </w:tc>
        <w:tc>
          <w:tcPr>
            <w:tcW w:w="591" w:type="dxa"/>
            <w:shd w:val="clear" w:color="auto" w:fill="auto"/>
            <w:vAlign w:val="center"/>
          </w:tcPr>
          <w:p>
            <w:pPr>
              <w:widowControl/>
              <w:jc w:val="center"/>
              <w:rPr>
                <w:rFonts w:ascii="Times New Roman" w:hAnsi="Times New Roman" w:eastAsia="宋体" w:cs="Times New Roman"/>
                <w:kern w:val="0"/>
                <w:sz w:val="15"/>
                <w:szCs w:val="15"/>
              </w:rPr>
            </w:pPr>
            <w:r>
              <w:rPr>
                <w:rFonts w:hint="eastAsia" w:ascii="Times New Roman" w:hAnsi="Times New Roman" w:eastAsia="宋体" w:cs="Times New Roman"/>
                <w:kern w:val="0"/>
                <w:sz w:val="15"/>
                <w:szCs w:val="15"/>
              </w:rPr>
              <w:t>2.598</w:t>
            </w:r>
          </w:p>
        </w:tc>
        <w:tc>
          <w:tcPr>
            <w:tcW w:w="554" w:type="dxa"/>
            <w:shd w:val="clear" w:color="auto" w:fill="auto"/>
            <w:vAlign w:val="center"/>
          </w:tcPr>
          <w:p>
            <w:pPr>
              <w:widowControl/>
              <w:jc w:val="center"/>
              <w:rPr>
                <w:rFonts w:ascii="Times New Roman" w:hAnsi="Times New Roman" w:eastAsia="宋体" w:cs="Times New Roman"/>
                <w:kern w:val="0"/>
                <w:sz w:val="15"/>
                <w:szCs w:val="15"/>
              </w:rPr>
            </w:pPr>
            <w:r>
              <w:rPr>
                <w:rFonts w:hint="eastAsia" w:ascii="Times New Roman" w:hAnsi="Times New Roman" w:eastAsia="宋体" w:cs="Times New Roman"/>
                <w:kern w:val="0"/>
                <w:sz w:val="15"/>
                <w:szCs w:val="15"/>
              </w:rPr>
              <w:t>2.522</w:t>
            </w:r>
          </w:p>
        </w:tc>
        <w:tc>
          <w:tcPr>
            <w:tcW w:w="554" w:type="dxa"/>
            <w:shd w:val="clear" w:color="auto" w:fill="auto"/>
            <w:vAlign w:val="center"/>
          </w:tcPr>
          <w:p>
            <w:pPr>
              <w:widowControl/>
              <w:jc w:val="center"/>
              <w:rPr>
                <w:rFonts w:ascii="Times New Roman" w:hAnsi="Times New Roman" w:eastAsia="宋体" w:cs="Times New Roman"/>
                <w:kern w:val="0"/>
                <w:sz w:val="15"/>
                <w:szCs w:val="15"/>
              </w:rPr>
            </w:pPr>
            <w:r>
              <w:rPr>
                <w:rFonts w:hint="eastAsia" w:ascii="Times New Roman" w:hAnsi="Times New Roman" w:eastAsia="宋体" w:cs="Times New Roman"/>
                <w:kern w:val="0"/>
                <w:sz w:val="15"/>
                <w:szCs w:val="15"/>
              </w:rPr>
              <w:t>2.436</w:t>
            </w:r>
          </w:p>
        </w:tc>
      </w:tr>
    </w:tbl>
    <w:p>
      <w:pPr>
        <w:adjustRightInd w:val="0"/>
        <w:snapToGrid w:val="0"/>
        <w:ind w:firstLine="420" w:firstLineChars="200"/>
        <w:jc w:val="center"/>
      </w:pPr>
    </w:p>
    <w:p>
      <w:pPr>
        <w:adjustRightInd w:val="0"/>
        <w:snapToGrid w:val="0"/>
      </w:pPr>
      <w:r>
        <w:drawing>
          <wp:inline distT="0" distB="0" distL="114300" distR="114300">
            <wp:extent cx="5441315" cy="2549525"/>
            <wp:effectExtent l="19050" t="0" r="26035" b="3175"/>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pPr>
        <w:adjustRightInd w:val="0"/>
        <w:snapToGrid w:val="0"/>
        <w:spacing w:afterLines="50"/>
        <w:ind w:firstLine="482" w:firstLineChars="200"/>
        <w:jc w:val="center"/>
        <w:rPr>
          <w:rFonts w:ascii="Times New Roman" w:hAnsi="Times New Roman" w:eastAsia="仿宋_GB2312" w:cs="Times New Roman"/>
          <w:b/>
          <w:bCs/>
          <w:sz w:val="32"/>
          <w:szCs w:val="32"/>
        </w:rPr>
      </w:pPr>
      <w:r>
        <w:rPr>
          <w:rFonts w:hint="eastAsia" w:ascii="Times New Roman" w:hAnsi="Times New Roman" w:eastAsia="仿宋_GB2312" w:cs="Times New Roman"/>
          <w:b/>
          <w:bCs/>
          <w:sz w:val="24"/>
        </w:rPr>
        <w:t>图12  2010-2020年陕西汽车保有量在全国汽车保有量中占比情况（万辆）</w:t>
      </w:r>
    </w:p>
    <w:p>
      <w:pPr>
        <w:pStyle w:val="2"/>
      </w:pPr>
    </w:p>
    <w:p>
      <w:pPr>
        <w:adjustRightInd w:val="0"/>
        <w:snapToGrid w:val="0"/>
        <w:spacing w:beforeLines="50" w:line="580" w:lineRule="exact"/>
        <w:jc w:val="center"/>
        <w:rPr>
          <w:rFonts w:ascii="Times New Roman" w:hAnsi="Times New Roman" w:eastAsia="仿宋_GB2312" w:cs="Times New Roman"/>
          <w:b/>
          <w:bCs/>
          <w:sz w:val="24"/>
        </w:rPr>
      </w:pPr>
      <w:r>
        <w:rPr>
          <w:rFonts w:hint="eastAsia" w:ascii="Times New Roman" w:hAnsi="Times New Roman" w:eastAsia="仿宋_GB2312" w:cs="Times New Roman"/>
          <w:b/>
          <w:bCs/>
          <w:sz w:val="24"/>
        </w:rPr>
        <w:t>表11  2010-2020年陕西及全国汽车销量中占比情况（万辆）</w:t>
      </w:r>
    </w:p>
    <w:tbl>
      <w:tblPr>
        <w:tblStyle w:val="17"/>
        <w:tblW w:w="800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166"/>
        <w:gridCol w:w="554"/>
        <w:gridCol w:w="762"/>
        <w:gridCol w:w="646"/>
        <w:gridCol w:w="554"/>
        <w:gridCol w:w="554"/>
        <w:gridCol w:w="554"/>
        <w:gridCol w:w="554"/>
        <w:gridCol w:w="554"/>
        <w:gridCol w:w="554"/>
        <w:gridCol w:w="5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trPr>
        <w:tc>
          <w:tcPr>
            <w:tcW w:w="2166" w:type="dxa"/>
            <w:shd w:val="clear" w:color="auto" w:fill="auto"/>
            <w:vAlign w:val="center"/>
          </w:tcPr>
          <w:p>
            <w:pPr>
              <w:widowControl/>
              <w:jc w:val="center"/>
              <w:rPr>
                <w:rFonts w:ascii="仿宋" w:hAnsi="仿宋" w:eastAsia="仿宋" w:cs="宋体"/>
                <w:kern w:val="0"/>
                <w:sz w:val="15"/>
                <w:szCs w:val="15"/>
              </w:rPr>
            </w:pPr>
          </w:p>
        </w:tc>
        <w:tc>
          <w:tcPr>
            <w:tcW w:w="554" w:type="dxa"/>
            <w:shd w:val="clear" w:color="auto" w:fill="auto"/>
            <w:vAlign w:val="center"/>
          </w:tcPr>
          <w:p>
            <w:pPr>
              <w:widowControl/>
              <w:jc w:val="center"/>
              <w:rPr>
                <w:rFonts w:ascii="Times New Roman" w:hAnsi="Times New Roman" w:eastAsia="宋体" w:cs="Times New Roman"/>
                <w:kern w:val="0"/>
                <w:sz w:val="15"/>
                <w:szCs w:val="15"/>
              </w:rPr>
            </w:pPr>
            <w:r>
              <w:rPr>
                <w:rFonts w:ascii="Times New Roman" w:hAnsi="Times New Roman" w:eastAsia="宋体" w:cs="Times New Roman"/>
                <w:kern w:val="0"/>
                <w:sz w:val="15"/>
                <w:szCs w:val="15"/>
              </w:rPr>
              <w:t>2019</w:t>
            </w:r>
          </w:p>
        </w:tc>
        <w:tc>
          <w:tcPr>
            <w:tcW w:w="762" w:type="dxa"/>
            <w:shd w:val="clear" w:color="auto" w:fill="auto"/>
            <w:vAlign w:val="center"/>
          </w:tcPr>
          <w:p>
            <w:pPr>
              <w:widowControl/>
              <w:jc w:val="center"/>
              <w:rPr>
                <w:rFonts w:ascii="Times New Roman" w:hAnsi="Times New Roman" w:eastAsia="宋体" w:cs="Times New Roman"/>
                <w:kern w:val="0"/>
                <w:sz w:val="15"/>
                <w:szCs w:val="15"/>
              </w:rPr>
            </w:pPr>
            <w:r>
              <w:rPr>
                <w:rFonts w:ascii="Times New Roman" w:hAnsi="Times New Roman" w:eastAsia="宋体" w:cs="Times New Roman"/>
                <w:kern w:val="0"/>
                <w:sz w:val="15"/>
                <w:szCs w:val="15"/>
              </w:rPr>
              <w:t>2018</w:t>
            </w:r>
          </w:p>
        </w:tc>
        <w:tc>
          <w:tcPr>
            <w:tcW w:w="646" w:type="dxa"/>
            <w:shd w:val="clear" w:color="auto" w:fill="auto"/>
            <w:vAlign w:val="center"/>
          </w:tcPr>
          <w:p>
            <w:pPr>
              <w:widowControl/>
              <w:jc w:val="center"/>
              <w:rPr>
                <w:rFonts w:ascii="Times New Roman" w:hAnsi="Times New Roman" w:eastAsia="宋体" w:cs="Times New Roman"/>
                <w:kern w:val="0"/>
                <w:sz w:val="15"/>
                <w:szCs w:val="15"/>
              </w:rPr>
            </w:pPr>
            <w:r>
              <w:rPr>
                <w:rFonts w:ascii="Times New Roman" w:hAnsi="Times New Roman" w:eastAsia="宋体" w:cs="Times New Roman"/>
                <w:kern w:val="0"/>
                <w:sz w:val="15"/>
                <w:szCs w:val="15"/>
              </w:rPr>
              <w:t>2017</w:t>
            </w:r>
          </w:p>
        </w:tc>
        <w:tc>
          <w:tcPr>
            <w:tcW w:w="554" w:type="dxa"/>
            <w:shd w:val="clear" w:color="auto" w:fill="auto"/>
            <w:vAlign w:val="center"/>
          </w:tcPr>
          <w:p>
            <w:pPr>
              <w:widowControl/>
              <w:jc w:val="center"/>
              <w:rPr>
                <w:rFonts w:ascii="Times New Roman" w:hAnsi="Times New Roman" w:eastAsia="宋体" w:cs="Times New Roman"/>
                <w:kern w:val="0"/>
                <w:sz w:val="15"/>
                <w:szCs w:val="15"/>
              </w:rPr>
            </w:pPr>
            <w:r>
              <w:rPr>
                <w:rFonts w:ascii="Times New Roman" w:hAnsi="Times New Roman" w:eastAsia="宋体" w:cs="Times New Roman"/>
                <w:kern w:val="0"/>
                <w:sz w:val="15"/>
                <w:szCs w:val="15"/>
              </w:rPr>
              <w:t>2016</w:t>
            </w:r>
          </w:p>
        </w:tc>
        <w:tc>
          <w:tcPr>
            <w:tcW w:w="554" w:type="dxa"/>
            <w:shd w:val="clear" w:color="auto" w:fill="auto"/>
            <w:vAlign w:val="center"/>
          </w:tcPr>
          <w:p>
            <w:pPr>
              <w:widowControl/>
              <w:jc w:val="center"/>
              <w:rPr>
                <w:rFonts w:ascii="Times New Roman" w:hAnsi="Times New Roman" w:eastAsia="宋体" w:cs="Times New Roman"/>
                <w:kern w:val="0"/>
                <w:sz w:val="15"/>
                <w:szCs w:val="15"/>
              </w:rPr>
            </w:pPr>
            <w:r>
              <w:rPr>
                <w:rFonts w:ascii="Times New Roman" w:hAnsi="Times New Roman" w:eastAsia="宋体" w:cs="Times New Roman"/>
                <w:kern w:val="0"/>
                <w:sz w:val="15"/>
                <w:szCs w:val="15"/>
              </w:rPr>
              <w:t>2015</w:t>
            </w:r>
          </w:p>
        </w:tc>
        <w:tc>
          <w:tcPr>
            <w:tcW w:w="554" w:type="dxa"/>
            <w:shd w:val="clear" w:color="auto" w:fill="auto"/>
            <w:vAlign w:val="center"/>
          </w:tcPr>
          <w:p>
            <w:pPr>
              <w:widowControl/>
              <w:jc w:val="center"/>
              <w:rPr>
                <w:rFonts w:ascii="Times New Roman" w:hAnsi="Times New Roman" w:eastAsia="宋体" w:cs="Times New Roman"/>
                <w:kern w:val="0"/>
                <w:sz w:val="15"/>
                <w:szCs w:val="15"/>
              </w:rPr>
            </w:pPr>
            <w:r>
              <w:rPr>
                <w:rFonts w:ascii="Times New Roman" w:hAnsi="Times New Roman" w:eastAsia="宋体" w:cs="Times New Roman"/>
                <w:kern w:val="0"/>
                <w:sz w:val="15"/>
                <w:szCs w:val="15"/>
              </w:rPr>
              <w:t>2014</w:t>
            </w:r>
          </w:p>
        </w:tc>
        <w:tc>
          <w:tcPr>
            <w:tcW w:w="554" w:type="dxa"/>
            <w:shd w:val="clear" w:color="auto" w:fill="auto"/>
            <w:vAlign w:val="center"/>
          </w:tcPr>
          <w:p>
            <w:pPr>
              <w:widowControl/>
              <w:jc w:val="center"/>
              <w:rPr>
                <w:rFonts w:ascii="Times New Roman" w:hAnsi="Times New Roman" w:eastAsia="宋体" w:cs="Times New Roman"/>
                <w:kern w:val="0"/>
                <w:sz w:val="15"/>
                <w:szCs w:val="15"/>
              </w:rPr>
            </w:pPr>
            <w:r>
              <w:rPr>
                <w:rFonts w:ascii="Times New Roman" w:hAnsi="Times New Roman" w:eastAsia="宋体" w:cs="Times New Roman"/>
                <w:kern w:val="0"/>
                <w:sz w:val="15"/>
                <w:szCs w:val="15"/>
              </w:rPr>
              <w:t>2013</w:t>
            </w:r>
          </w:p>
        </w:tc>
        <w:tc>
          <w:tcPr>
            <w:tcW w:w="554" w:type="dxa"/>
            <w:shd w:val="clear" w:color="auto" w:fill="auto"/>
            <w:vAlign w:val="center"/>
          </w:tcPr>
          <w:p>
            <w:pPr>
              <w:widowControl/>
              <w:jc w:val="center"/>
              <w:rPr>
                <w:rFonts w:ascii="Times New Roman" w:hAnsi="Times New Roman" w:eastAsia="宋体" w:cs="Times New Roman"/>
                <w:kern w:val="0"/>
                <w:sz w:val="15"/>
                <w:szCs w:val="15"/>
              </w:rPr>
            </w:pPr>
            <w:r>
              <w:rPr>
                <w:rFonts w:ascii="Times New Roman" w:hAnsi="Times New Roman" w:eastAsia="宋体" w:cs="Times New Roman"/>
                <w:kern w:val="0"/>
                <w:sz w:val="15"/>
                <w:szCs w:val="15"/>
              </w:rPr>
              <w:t>2012</w:t>
            </w:r>
          </w:p>
        </w:tc>
        <w:tc>
          <w:tcPr>
            <w:tcW w:w="554" w:type="dxa"/>
            <w:shd w:val="clear" w:color="auto" w:fill="auto"/>
            <w:vAlign w:val="center"/>
          </w:tcPr>
          <w:p>
            <w:pPr>
              <w:widowControl/>
              <w:jc w:val="center"/>
              <w:rPr>
                <w:rFonts w:ascii="Times New Roman" w:hAnsi="Times New Roman" w:eastAsia="宋体" w:cs="Times New Roman"/>
                <w:kern w:val="0"/>
                <w:sz w:val="15"/>
                <w:szCs w:val="15"/>
              </w:rPr>
            </w:pPr>
            <w:r>
              <w:rPr>
                <w:rFonts w:ascii="Times New Roman" w:hAnsi="Times New Roman" w:eastAsia="宋体" w:cs="Times New Roman"/>
                <w:kern w:val="0"/>
                <w:sz w:val="15"/>
                <w:szCs w:val="15"/>
              </w:rPr>
              <w:t>2011</w:t>
            </w:r>
          </w:p>
        </w:tc>
        <w:tc>
          <w:tcPr>
            <w:tcW w:w="554" w:type="dxa"/>
            <w:shd w:val="clear" w:color="auto" w:fill="auto"/>
            <w:vAlign w:val="center"/>
          </w:tcPr>
          <w:p>
            <w:pPr>
              <w:widowControl/>
              <w:jc w:val="center"/>
              <w:rPr>
                <w:rFonts w:ascii="Times New Roman" w:hAnsi="Times New Roman" w:eastAsia="宋体" w:cs="Times New Roman"/>
                <w:kern w:val="0"/>
                <w:sz w:val="15"/>
                <w:szCs w:val="15"/>
              </w:rPr>
            </w:pPr>
            <w:r>
              <w:rPr>
                <w:rFonts w:ascii="Times New Roman" w:hAnsi="Times New Roman" w:eastAsia="宋体" w:cs="Times New Roman"/>
                <w:kern w:val="0"/>
                <w:sz w:val="15"/>
                <w:szCs w:val="15"/>
              </w:rPr>
              <w:t>2010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trPr>
        <w:tc>
          <w:tcPr>
            <w:tcW w:w="2166" w:type="dxa"/>
            <w:shd w:val="clear" w:color="auto" w:fill="auto"/>
            <w:vAlign w:val="center"/>
          </w:tcPr>
          <w:p>
            <w:pPr>
              <w:widowControl/>
              <w:jc w:val="center"/>
              <w:rPr>
                <w:rFonts w:ascii="仿宋" w:hAnsi="仿宋" w:eastAsia="仿宋" w:cs="宋体"/>
                <w:kern w:val="0"/>
                <w:sz w:val="15"/>
                <w:szCs w:val="15"/>
              </w:rPr>
            </w:pPr>
            <w:r>
              <w:rPr>
                <w:rFonts w:hint="eastAsia" w:ascii="仿宋" w:hAnsi="仿宋" w:eastAsia="仿宋" w:cs="宋体"/>
                <w:kern w:val="0"/>
                <w:sz w:val="15"/>
                <w:szCs w:val="15"/>
              </w:rPr>
              <w:t>陕西民用汽车新注册量(万辆)</w:t>
            </w:r>
          </w:p>
        </w:tc>
        <w:tc>
          <w:tcPr>
            <w:tcW w:w="554" w:type="dxa"/>
            <w:shd w:val="clear" w:color="auto" w:fill="auto"/>
            <w:vAlign w:val="center"/>
          </w:tcPr>
          <w:p>
            <w:pPr>
              <w:widowControl/>
              <w:jc w:val="center"/>
              <w:rPr>
                <w:rFonts w:ascii="Times New Roman" w:hAnsi="Times New Roman" w:eastAsia="宋体" w:cs="Times New Roman"/>
                <w:kern w:val="0"/>
                <w:sz w:val="15"/>
                <w:szCs w:val="15"/>
              </w:rPr>
            </w:pPr>
            <w:r>
              <w:rPr>
                <w:rFonts w:ascii="Times New Roman" w:hAnsi="Times New Roman" w:eastAsia="宋体" w:cs="Times New Roman"/>
                <w:kern w:val="0"/>
                <w:sz w:val="15"/>
                <w:szCs w:val="15"/>
              </w:rPr>
              <w:t>77.46</w:t>
            </w:r>
          </w:p>
        </w:tc>
        <w:tc>
          <w:tcPr>
            <w:tcW w:w="762" w:type="dxa"/>
            <w:shd w:val="clear" w:color="auto" w:fill="auto"/>
            <w:vAlign w:val="center"/>
          </w:tcPr>
          <w:p>
            <w:pPr>
              <w:widowControl/>
              <w:jc w:val="center"/>
              <w:rPr>
                <w:rFonts w:ascii="Times New Roman" w:hAnsi="Times New Roman" w:eastAsia="宋体" w:cs="Times New Roman"/>
                <w:kern w:val="0"/>
                <w:sz w:val="15"/>
                <w:szCs w:val="15"/>
              </w:rPr>
            </w:pPr>
            <w:r>
              <w:rPr>
                <w:rFonts w:ascii="Times New Roman" w:hAnsi="Times New Roman" w:eastAsia="宋体" w:cs="Times New Roman"/>
                <w:kern w:val="0"/>
                <w:sz w:val="15"/>
                <w:szCs w:val="15"/>
              </w:rPr>
              <w:t>77.39</w:t>
            </w:r>
          </w:p>
        </w:tc>
        <w:tc>
          <w:tcPr>
            <w:tcW w:w="646" w:type="dxa"/>
            <w:shd w:val="clear" w:color="auto" w:fill="auto"/>
            <w:vAlign w:val="center"/>
          </w:tcPr>
          <w:p>
            <w:pPr>
              <w:widowControl/>
              <w:jc w:val="center"/>
              <w:rPr>
                <w:rFonts w:ascii="Times New Roman" w:hAnsi="Times New Roman" w:eastAsia="宋体" w:cs="Times New Roman"/>
                <w:kern w:val="0"/>
                <w:sz w:val="15"/>
                <w:szCs w:val="15"/>
              </w:rPr>
            </w:pPr>
            <w:r>
              <w:rPr>
                <w:rFonts w:ascii="Times New Roman" w:hAnsi="Times New Roman" w:eastAsia="宋体" w:cs="Times New Roman"/>
                <w:kern w:val="0"/>
                <w:sz w:val="15"/>
                <w:szCs w:val="15"/>
              </w:rPr>
              <w:t>74.35</w:t>
            </w:r>
          </w:p>
        </w:tc>
        <w:tc>
          <w:tcPr>
            <w:tcW w:w="554" w:type="dxa"/>
            <w:shd w:val="clear" w:color="auto" w:fill="auto"/>
            <w:vAlign w:val="center"/>
          </w:tcPr>
          <w:p>
            <w:pPr>
              <w:widowControl/>
              <w:jc w:val="center"/>
              <w:rPr>
                <w:rFonts w:ascii="Times New Roman" w:hAnsi="Times New Roman" w:eastAsia="宋体" w:cs="Times New Roman"/>
                <w:kern w:val="0"/>
                <w:sz w:val="15"/>
                <w:szCs w:val="15"/>
              </w:rPr>
            </w:pPr>
            <w:r>
              <w:rPr>
                <w:rFonts w:ascii="Times New Roman" w:hAnsi="Times New Roman" w:eastAsia="宋体" w:cs="Times New Roman"/>
                <w:kern w:val="0"/>
                <w:sz w:val="15"/>
                <w:szCs w:val="15"/>
              </w:rPr>
              <w:t>70.56</w:t>
            </w:r>
          </w:p>
        </w:tc>
        <w:tc>
          <w:tcPr>
            <w:tcW w:w="554" w:type="dxa"/>
            <w:shd w:val="clear" w:color="auto" w:fill="auto"/>
            <w:vAlign w:val="center"/>
          </w:tcPr>
          <w:p>
            <w:pPr>
              <w:widowControl/>
              <w:jc w:val="center"/>
              <w:rPr>
                <w:rFonts w:ascii="Times New Roman" w:hAnsi="Times New Roman" w:eastAsia="宋体" w:cs="Times New Roman"/>
                <w:kern w:val="0"/>
                <w:sz w:val="15"/>
                <w:szCs w:val="15"/>
              </w:rPr>
            </w:pPr>
            <w:r>
              <w:rPr>
                <w:rFonts w:ascii="Times New Roman" w:hAnsi="Times New Roman" w:eastAsia="宋体" w:cs="Times New Roman"/>
                <w:kern w:val="0"/>
                <w:sz w:val="15"/>
                <w:szCs w:val="15"/>
              </w:rPr>
              <w:t>62.52</w:t>
            </w:r>
          </w:p>
        </w:tc>
        <w:tc>
          <w:tcPr>
            <w:tcW w:w="554" w:type="dxa"/>
            <w:shd w:val="clear" w:color="auto" w:fill="auto"/>
            <w:vAlign w:val="center"/>
          </w:tcPr>
          <w:p>
            <w:pPr>
              <w:widowControl/>
              <w:jc w:val="center"/>
              <w:rPr>
                <w:rFonts w:ascii="Times New Roman" w:hAnsi="Times New Roman" w:eastAsia="宋体" w:cs="Times New Roman"/>
                <w:kern w:val="0"/>
                <w:sz w:val="15"/>
                <w:szCs w:val="15"/>
              </w:rPr>
            </w:pPr>
            <w:r>
              <w:rPr>
                <w:rFonts w:ascii="Times New Roman" w:hAnsi="Times New Roman" w:eastAsia="宋体" w:cs="Times New Roman"/>
                <w:kern w:val="0"/>
                <w:sz w:val="15"/>
                <w:szCs w:val="15"/>
              </w:rPr>
              <w:t>63.75</w:t>
            </w:r>
          </w:p>
        </w:tc>
        <w:tc>
          <w:tcPr>
            <w:tcW w:w="554" w:type="dxa"/>
            <w:shd w:val="clear" w:color="auto" w:fill="auto"/>
            <w:vAlign w:val="center"/>
          </w:tcPr>
          <w:p>
            <w:pPr>
              <w:widowControl/>
              <w:jc w:val="center"/>
              <w:rPr>
                <w:rFonts w:ascii="Times New Roman" w:hAnsi="Times New Roman" w:eastAsia="宋体" w:cs="Times New Roman"/>
                <w:kern w:val="0"/>
                <w:sz w:val="15"/>
                <w:szCs w:val="15"/>
              </w:rPr>
            </w:pPr>
            <w:r>
              <w:rPr>
                <w:rFonts w:ascii="Times New Roman" w:hAnsi="Times New Roman" w:eastAsia="宋体" w:cs="Times New Roman"/>
                <w:kern w:val="0"/>
                <w:sz w:val="15"/>
                <w:szCs w:val="15"/>
              </w:rPr>
              <w:t>59.5</w:t>
            </w:r>
          </w:p>
        </w:tc>
        <w:tc>
          <w:tcPr>
            <w:tcW w:w="554" w:type="dxa"/>
            <w:shd w:val="clear" w:color="auto" w:fill="auto"/>
            <w:vAlign w:val="center"/>
          </w:tcPr>
          <w:p>
            <w:pPr>
              <w:widowControl/>
              <w:jc w:val="center"/>
              <w:rPr>
                <w:rFonts w:ascii="Times New Roman" w:hAnsi="Times New Roman" w:eastAsia="宋体" w:cs="Times New Roman"/>
                <w:kern w:val="0"/>
                <w:sz w:val="15"/>
                <w:szCs w:val="15"/>
              </w:rPr>
            </w:pPr>
            <w:r>
              <w:rPr>
                <w:rFonts w:ascii="Times New Roman" w:hAnsi="Times New Roman" w:eastAsia="宋体" w:cs="Times New Roman"/>
                <w:kern w:val="0"/>
                <w:sz w:val="15"/>
                <w:szCs w:val="15"/>
              </w:rPr>
              <w:t>53.78</w:t>
            </w:r>
          </w:p>
        </w:tc>
        <w:tc>
          <w:tcPr>
            <w:tcW w:w="554" w:type="dxa"/>
            <w:shd w:val="clear" w:color="auto" w:fill="auto"/>
            <w:vAlign w:val="center"/>
          </w:tcPr>
          <w:p>
            <w:pPr>
              <w:widowControl/>
              <w:jc w:val="center"/>
              <w:rPr>
                <w:rFonts w:ascii="Times New Roman" w:hAnsi="Times New Roman" w:eastAsia="宋体" w:cs="Times New Roman"/>
                <w:kern w:val="0"/>
                <w:sz w:val="15"/>
                <w:szCs w:val="15"/>
              </w:rPr>
            </w:pPr>
            <w:r>
              <w:rPr>
                <w:rFonts w:ascii="Times New Roman" w:hAnsi="Times New Roman" w:eastAsia="宋体" w:cs="Times New Roman"/>
                <w:kern w:val="0"/>
                <w:sz w:val="15"/>
                <w:szCs w:val="15"/>
              </w:rPr>
              <w:t>49.6</w:t>
            </w:r>
          </w:p>
        </w:tc>
        <w:tc>
          <w:tcPr>
            <w:tcW w:w="554" w:type="dxa"/>
            <w:shd w:val="clear" w:color="auto" w:fill="auto"/>
            <w:vAlign w:val="center"/>
          </w:tcPr>
          <w:p>
            <w:pPr>
              <w:widowControl/>
              <w:jc w:val="center"/>
              <w:rPr>
                <w:rFonts w:ascii="Times New Roman" w:hAnsi="Times New Roman" w:eastAsia="宋体" w:cs="Times New Roman"/>
                <w:kern w:val="0"/>
                <w:sz w:val="15"/>
                <w:szCs w:val="15"/>
              </w:rPr>
            </w:pPr>
            <w:r>
              <w:rPr>
                <w:rFonts w:ascii="Times New Roman" w:hAnsi="Times New Roman" w:eastAsia="宋体" w:cs="Times New Roman"/>
                <w:kern w:val="0"/>
                <w:sz w:val="15"/>
                <w:szCs w:val="15"/>
              </w:rPr>
              <w:t>47.42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trPr>
        <w:tc>
          <w:tcPr>
            <w:tcW w:w="2166" w:type="dxa"/>
            <w:shd w:val="clear" w:color="auto" w:fill="auto"/>
            <w:vAlign w:val="center"/>
          </w:tcPr>
          <w:p>
            <w:pPr>
              <w:widowControl/>
              <w:jc w:val="center"/>
              <w:rPr>
                <w:rFonts w:ascii="仿宋" w:hAnsi="仿宋" w:eastAsia="仿宋" w:cs="宋体"/>
                <w:kern w:val="0"/>
                <w:sz w:val="15"/>
                <w:szCs w:val="15"/>
              </w:rPr>
            </w:pPr>
            <w:r>
              <w:rPr>
                <w:rFonts w:hint="eastAsia" w:ascii="仿宋" w:hAnsi="仿宋" w:eastAsia="仿宋" w:cs="宋体"/>
                <w:kern w:val="0"/>
                <w:sz w:val="15"/>
                <w:szCs w:val="15"/>
              </w:rPr>
              <w:t>全国汽车销量(万辆)</w:t>
            </w:r>
          </w:p>
        </w:tc>
        <w:tc>
          <w:tcPr>
            <w:tcW w:w="554" w:type="dxa"/>
            <w:shd w:val="clear" w:color="auto" w:fill="auto"/>
            <w:vAlign w:val="center"/>
          </w:tcPr>
          <w:p>
            <w:pPr>
              <w:widowControl/>
              <w:jc w:val="center"/>
              <w:rPr>
                <w:rFonts w:ascii="Times New Roman" w:hAnsi="Times New Roman" w:eastAsia="宋体" w:cs="Times New Roman"/>
                <w:kern w:val="0"/>
                <w:sz w:val="15"/>
                <w:szCs w:val="15"/>
              </w:rPr>
            </w:pPr>
            <w:r>
              <w:rPr>
                <w:rFonts w:ascii="Times New Roman" w:hAnsi="Times New Roman" w:eastAsia="宋体" w:cs="Times New Roman"/>
                <w:kern w:val="0"/>
                <w:sz w:val="15"/>
                <w:szCs w:val="15"/>
              </w:rPr>
              <w:t>2577</w:t>
            </w:r>
          </w:p>
        </w:tc>
        <w:tc>
          <w:tcPr>
            <w:tcW w:w="762" w:type="dxa"/>
            <w:shd w:val="clear" w:color="auto" w:fill="auto"/>
            <w:vAlign w:val="center"/>
          </w:tcPr>
          <w:p>
            <w:pPr>
              <w:widowControl/>
              <w:jc w:val="center"/>
              <w:rPr>
                <w:rFonts w:ascii="Times New Roman" w:hAnsi="Times New Roman" w:eastAsia="宋体" w:cs="Times New Roman"/>
                <w:kern w:val="0"/>
                <w:sz w:val="15"/>
                <w:szCs w:val="15"/>
              </w:rPr>
            </w:pPr>
            <w:r>
              <w:rPr>
                <w:rFonts w:ascii="Times New Roman" w:hAnsi="Times New Roman" w:eastAsia="宋体" w:cs="Times New Roman"/>
                <w:kern w:val="0"/>
                <w:sz w:val="15"/>
                <w:szCs w:val="15"/>
              </w:rPr>
              <w:t>2808</w:t>
            </w:r>
          </w:p>
        </w:tc>
        <w:tc>
          <w:tcPr>
            <w:tcW w:w="646" w:type="dxa"/>
            <w:shd w:val="clear" w:color="auto" w:fill="auto"/>
            <w:vAlign w:val="center"/>
          </w:tcPr>
          <w:p>
            <w:pPr>
              <w:widowControl/>
              <w:jc w:val="center"/>
              <w:rPr>
                <w:rFonts w:ascii="Times New Roman" w:hAnsi="Times New Roman" w:eastAsia="宋体" w:cs="Times New Roman"/>
                <w:kern w:val="0"/>
                <w:sz w:val="15"/>
                <w:szCs w:val="15"/>
              </w:rPr>
            </w:pPr>
            <w:r>
              <w:rPr>
                <w:rFonts w:ascii="Times New Roman" w:hAnsi="Times New Roman" w:eastAsia="宋体" w:cs="Times New Roman"/>
                <w:kern w:val="0"/>
                <w:sz w:val="15"/>
                <w:szCs w:val="15"/>
              </w:rPr>
              <w:t>2888</w:t>
            </w:r>
          </w:p>
        </w:tc>
        <w:tc>
          <w:tcPr>
            <w:tcW w:w="554" w:type="dxa"/>
            <w:shd w:val="clear" w:color="auto" w:fill="auto"/>
            <w:vAlign w:val="center"/>
          </w:tcPr>
          <w:p>
            <w:pPr>
              <w:widowControl/>
              <w:jc w:val="center"/>
              <w:rPr>
                <w:rFonts w:ascii="Times New Roman" w:hAnsi="Times New Roman" w:eastAsia="宋体" w:cs="Times New Roman"/>
                <w:kern w:val="0"/>
                <w:sz w:val="15"/>
                <w:szCs w:val="15"/>
              </w:rPr>
            </w:pPr>
            <w:r>
              <w:rPr>
                <w:rFonts w:ascii="Times New Roman" w:hAnsi="Times New Roman" w:eastAsia="宋体" w:cs="Times New Roman"/>
                <w:kern w:val="0"/>
                <w:sz w:val="15"/>
                <w:szCs w:val="15"/>
              </w:rPr>
              <w:t>2803</w:t>
            </w:r>
          </w:p>
        </w:tc>
        <w:tc>
          <w:tcPr>
            <w:tcW w:w="554" w:type="dxa"/>
            <w:shd w:val="clear" w:color="auto" w:fill="auto"/>
            <w:vAlign w:val="center"/>
          </w:tcPr>
          <w:p>
            <w:pPr>
              <w:widowControl/>
              <w:jc w:val="center"/>
              <w:rPr>
                <w:rFonts w:ascii="Times New Roman" w:hAnsi="Times New Roman" w:eastAsia="宋体" w:cs="Times New Roman"/>
                <w:kern w:val="0"/>
                <w:sz w:val="15"/>
                <w:szCs w:val="15"/>
              </w:rPr>
            </w:pPr>
            <w:r>
              <w:rPr>
                <w:rFonts w:ascii="Times New Roman" w:hAnsi="Times New Roman" w:eastAsia="宋体" w:cs="Times New Roman"/>
                <w:kern w:val="0"/>
                <w:sz w:val="15"/>
                <w:szCs w:val="15"/>
              </w:rPr>
              <w:t>2460</w:t>
            </w:r>
          </w:p>
        </w:tc>
        <w:tc>
          <w:tcPr>
            <w:tcW w:w="554" w:type="dxa"/>
            <w:shd w:val="clear" w:color="auto" w:fill="auto"/>
            <w:vAlign w:val="center"/>
          </w:tcPr>
          <w:p>
            <w:pPr>
              <w:widowControl/>
              <w:jc w:val="center"/>
              <w:rPr>
                <w:rFonts w:ascii="Times New Roman" w:hAnsi="Times New Roman" w:eastAsia="宋体" w:cs="Times New Roman"/>
                <w:kern w:val="0"/>
                <w:sz w:val="15"/>
                <w:szCs w:val="15"/>
              </w:rPr>
            </w:pPr>
            <w:r>
              <w:rPr>
                <w:rFonts w:ascii="Times New Roman" w:hAnsi="Times New Roman" w:eastAsia="宋体" w:cs="Times New Roman"/>
                <w:kern w:val="0"/>
                <w:sz w:val="15"/>
                <w:szCs w:val="15"/>
              </w:rPr>
              <w:t>2349</w:t>
            </w:r>
          </w:p>
        </w:tc>
        <w:tc>
          <w:tcPr>
            <w:tcW w:w="554" w:type="dxa"/>
            <w:shd w:val="clear" w:color="auto" w:fill="auto"/>
            <w:vAlign w:val="center"/>
          </w:tcPr>
          <w:p>
            <w:pPr>
              <w:widowControl/>
              <w:jc w:val="center"/>
              <w:rPr>
                <w:rFonts w:ascii="Times New Roman" w:hAnsi="Times New Roman" w:eastAsia="宋体" w:cs="Times New Roman"/>
                <w:kern w:val="0"/>
                <w:sz w:val="15"/>
                <w:szCs w:val="15"/>
              </w:rPr>
            </w:pPr>
            <w:r>
              <w:rPr>
                <w:rFonts w:ascii="Times New Roman" w:hAnsi="Times New Roman" w:eastAsia="宋体" w:cs="Times New Roman"/>
                <w:kern w:val="0"/>
                <w:sz w:val="15"/>
                <w:szCs w:val="15"/>
              </w:rPr>
              <w:t>2198</w:t>
            </w:r>
          </w:p>
        </w:tc>
        <w:tc>
          <w:tcPr>
            <w:tcW w:w="554" w:type="dxa"/>
            <w:shd w:val="clear" w:color="auto" w:fill="auto"/>
            <w:vAlign w:val="center"/>
          </w:tcPr>
          <w:p>
            <w:pPr>
              <w:widowControl/>
              <w:jc w:val="center"/>
              <w:rPr>
                <w:rFonts w:ascii="Times New Roman" w:hAnsi="Times New Roman" w:eastAsia="宋体" w:cs="Times New Roman"/>
                <w:kern w:val="0"/>
                <w:sz w:val="15"/>
                <w:szCs w:val="15"/>
              </w:rPr>
            </w:pPr>
            <w:r>
              <w:rPr>
                <w:rFonts w:ascii="Times New Roman" w:hAnsi="Times New Roman" w:eastAsia="宋体" w:cs="Times New Roman"/>
                <w:kern w:val="0"/>
                <w:sz w:val="15"/>
                <w:szCs w:val="15"/>
              </w:rPr>
              <w:t>1931</w:t>
            </w:r>
          </w:p>
        </w:tc>
        <w:tc>
          <w:tcPr>
            <w:tcW w:w="554" w:type="dxa"/>
            <w:shd w:val="clear" w:color="auto" w:fill="auto"/>
            <w:vAlign w:val="center"/>
          </w:tcPr>
          <w:p>
            <w:pPr>
              <w:widowControl/>
              <w:jc w:val="center"/>
              <w:rPr>
                <w:rFonts w:ascii="Times New Roman" w:hAnsi="Times New Roman" w:eastAsia="宋体" w:cs="Times New Roman"/>
                <w:kern w:val="0"/>
                <w:sz w:val="15"/>
                <w:szCs w:val="15"/>
              </w:rPr>
            </w:pPr>
            <w:r>
              <w:rPr>
                <w:rFonts w:ascii="Times New Roman" w:hAnsi="Times New Roman" w:eastAsia="宋体" w:cs="Times New Roman"/>
                <w:kern w:val="0"/>
                <w:sz w:val="15"/>
                <w:szCs w:val="15"/>
              </w:rPr>
              <w:t>1851</w:t>
            </w:r>
          </w:p>
        </w:tc>
        <w:tc>
          <w:tcPr>
            <w:tcW w:w="554" w:type="dxa"/>
            <w:shd w:val="clear" w:color="auto" w:fill="auto"/>
            <w:vAlign w:val="center"/>
          </w:tcPr>
          <w:p>
            <w:pPr>
              <w:widowControl/>
              <w:jc w:val="center"/>
              <w:rPr>
                <w:rFonts w:ascii="Times New Roman" w:hAnsi="Times New Roman" w:eastAsia="宋体" w:cs="Times New Roman"/>
                <w:kern w:val="0"/>
                <w:sz w:val="15"/>
                <w:szCs w:val="15"/>
              </w:rPr>
            </w:pPr>
            <w:r>
              <w:rPr>
                <w:rFonts w:ascii="Times New Roman" w:hAnsi="Times New Roman" w:eastAsia="宋体" w:cs="Times New Roman"/>
                <w:kern w:val="0"/>
                <w:sz w:val="15"/>
                <w:szCs w:val="15"/>
              </w:rPr>
              <w:t>1806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trPr>
        <w:tc>
          <w:tcPr>
            <w:tcW w:w="2166" w:type="dxa"/>
            <w:shd w:val="clear" w:color="auto" w:fill="auto"/>
            <w:vAlign w:val="center"/>
          </w:tcPr>
          <w:p>
            <w:pPr>
              <w:widowControl/>
              <w:jc w:val="center"/>
              <w:rPr>
                <w:rFonts w:ascii="仿宋" w:hAnsi="仿宋" w:eastAsia="仿宋" w:cs="宋体"/>
                <w:b/>
                <w:bCs/>
                <w:kern w:val="0"/>
                <w:sz w:val="24"/>
              </w:rPr>
            </w:pPr>
            <w:r>
              <w:rPr>
                <w:rFonts w:hint="eastAsia" w:ascii="仿宋" w:hAnsi="仿宋" w:eastAsia="仿宋" w:cs="宋体"/>
                <w:kern w:val="0"/>
                <w:sz w:val="15"/>
                <w:szCs w:val="15"/>
              </w:rPr>
              <w:t>占比</w:t>
            </w:r>
          </w:p>
        </w:tc>
        <w:tc>
          <w:tcPr>
            <w:tcW w:w="554" w:type="dxa"/>
            <w:shd w:val="clear" w:color="auto" w:fill="auto"/>
            <w:vAlign w:val="center"/>
          </w:tcPr>
          <w:p>
            <w:pPr>
              <w:widowControl/>
              <w:jc w:val="right"/>
              <w:rPr>
                <w:rFonts w:ascii="Times New Roman" w:hAnsi="Times New Roman" w:eastAsia="宋体" w:cs="Times New Roman"/>
                <w:kern w:val="0"/>
                <w:sz w:val="15"/>
                <w:szCs w:val="22"/>
              </w:rPr>
            </w:pPr>
            <w:r>
              <w:rPr>
                <w:rFonts w:ascii="Times New Roman" w:hAnsi="Times New Roman" w:eastAsia="宋体" w:cs="Times New Roman"/>
                <w:kern w:val="0"/>
                <w:sz w:val="15"/>
                <w:szCs w:val="22"/>
              </w:rPr>
              <w:t>3.00</w:t>
            </w:r>
            <w:r>
              <w:rPr>
                <w:rFonts w:hint="eastAsia" w:ascii="Times New Roman" w:hAnsi="Times New Roman" w:eastAsia="宋体" w:cs="Times New Roman"/>
                <w:kern w:val="0"/>
                <w:sz w:val="15"/>
                <w:szCs w:val="22"/>
              </w:rPr>
              <w:t>6</w:t>
            </w:r>
          </w:p>
        </w:tc>
        <w:tc>
          <w:tcPr>
            <w:tcW w:w="762" w:type="dxa"/>
            <w:shd w:val="clear" w:color="auto" w:fill="auto"/>
            <w:vAlign w:val="center"/>
          </w:tcPr>
          <w:p>
            <w:pPr>
              <w:widowControl/>
              <w:ind w:right="75"/>
              <w:jc w:val="right"/>
              <w:rPr>
                <w:rFonts w:ascii="Times New Roman" w:hAnsi="Times New Roman" w:eastAsia="宋体" w:cs="Times New Roman"/>
                <w:kern w:val="0"/>
                <w:sz w:val="15"/>
                <w:szCs w:val="22"/>
              </w:rPr>
            </w:pPr>
            <w:r>
              <w:rPr>
                <w:rFonts w:ascii="Times New Roman" w:hAnsi="Times New Roman" w:eastAsia="宋体" w:cs="Times New Roman"/>
                <w:kern w:val="0"/>
                <w:sz w:val="15"/>
                <w:szCs w:val="22"/>
              </w:rPr>
              <w:t>2.756</w:t>
            </w:r>
          </w:p>
        </w:tc>
        <w:tc>
          <w:tcPr>
            <w:tcW w:w="646" w:type="dxa"/>
            <w:shd w:val="clear" w:color="auto" w:fill="auto"/>
            <w:vAlign w:val="center"/>
          </w:tcPr>
          <w:p>
            <w:pPr>
              <w:widowControl/>
              <w:ind w:right="75"/>
              <w:jc w:val="right"/>
              <w:rPr>
                <w:rFonts w:ascii="Times New Roman" w:hAnsi="Times New Roman" w:eastAsia="宋体" w:cs="Times New Roman"/>
                <w:kern w:val="0"/>
                <w:sz w:val="15"/>
                <w:szCs w:val="22"/>
              </w:rPr>
            </w:pPr>
            <w:r>
              <w:rPr>
                <w:rFonts w:ascii="Times New Roman" w:hAnsi="Times New Roman" w:eastAsia="宋体" w:cs="Times New Roman"/>
                <w:kern w:val="0"/>
                <w:sz w:val="15"/>
                <w:szCs w:val="22"/>
              </w:rPr>
              <w:t>2.574</w:t>
            </w:r>
          </w:p>
        </w:tc>
        <w:tc>
          <w:tcPr>
            <w:tcW w:w="554" w:type="dxa"/>
            <w:shd w:val="clear" w:color="auto" w:fill="auto"/>
            <w:vAlign w:val="center"/>
          </w:tcPr>
          <w:p>
            <w:pPr>
              <w:widowControl/>
              <w:jc w:val="right"/>
              <w:rPr>
                <w:rFonts w:ascii="Times New Roman" w:hAnsi="Times New Roman" w:eastAsia="宋体" w:cs="Times New Roman"/>
                <w:kern w:val="0"/>
                <w:sz w:val="15"/>
                <w:szCs w:val="22"/>
              </w:rPr>
            </w:pPr>
            <w:r>
              <w:rPr>
                <w:rFonts w:ascii="Times New Roman" w:hAnsi="Times New Roman" w:eastAsia="宋体" w:cs="Times New Roman"/>
                <w:kern w:val="0"/>
                <w:sz w:val="15"/>
                <w:szCs w:val="22"/>
              </w:rPr>
              <w:t>2.517</w:t>
            </w:r>
          </w:p>
        </w:tc>
        <w:tc>
          <w:tcPr>
            <w:tcW w:w="554" w:type="dxa"/>
            <w:shd w:val="clear" w:color="auto" w:fill="auto"/>
            <w:vAlign w:val="center"/>
          </w:tcPr>
          <w:p>
            <w:pPr>
              <w:widowControl/>
              <w:jc w:val="right"/>
              <w:rPr>
                <w:rFonts w:ascii="Times New Roman" w:hAnsi="Times New Roman" w:eastAsia="宋体" w:cs="Times New Roman"/>
                <w:kern w:val="0"/>
                <w:sz w:val="15"/>
                <w:szCs w:val="22"/>
              </w:rPr>
            </w:pPr>
            <w:r>
              <w:rPr>
                <w:rFonts w:ascii="Times New Roman" w:hAnsi="Times New Roman" w:eastAsia="宋体" w:cs="Times New Roman"/>
                <w:kern w:val="0"/>
                <w:sz w:val="15"/>
                <w:szCs w:val="22"/>
              </w:rPr>
              <w:t>2.541</w:t>
            </w:r>
          </w:p>
        </w:tc>
        <w:tc>
          <w:tcPr>
            <w:tcW w:w="554" w:type="dxa"/>
            <w:shd w:val="clear" w:color="auto" w:fill="auto"/>
            <w:vAlign w:val="center"/>
          </w:tcPr>
          <w:p>
            <w:pPr>
              <w:widowControl/>
              <w:jc w:val="right"/>
              <w:rPr>
                <w:rFonts w:ascii="Times New Roman" w:hAnsi="Times New Roman" w:eastAsia="宋体" w:cs="Times New Roman"/>
                <w:kern w:val="0"/>
                <w:sz w:val="15"/>
                <w:szCs w:val="22"/>
              </w:rPr>
            </w:pPr>
            <w:r>
              <w:rPr>
                <w:rFonts w:ascii="Times New Roman" w:hAnsi="Times New Roman" w:eastAsia="宋体" w:cs="Times New Roman"/>
                <w:kern w:val="0"/>
                <w:sz w:val="15"/>
                <w:szCs w:val="22"/>
              </w:rPr>
              <w:t>2.71</w:t>
            </w:r>
            <w:r>
              <w:rPr>
                <w:rFonts w:hint="eastAsia" w:ascii="Times New Roman" w:hAnsi="Times New Roman" w:eastAsia="宋体" w:cs="Times New Roman"/>
                <w:kern w:val="0"/>
                <w:sz w:val="15"/>
                <w:szCs w:val="22"/>
              </w:rPr>
              <w:t>4</w:t>
            </w:r>
          </w:p>
        </w:tc>
        <w:tc>
          <w:tcPr>
            <w:tcW w:w="554" w:type="dxa"/>
            <w:shd w:val="clear" w:color="auto" w:fill="auto"/>
            <w:vAlign w:val="center"/>
          </w:tcPr>
          <w:p>
            <w:pPr>
              <w:widowControl/>
              <w:jc w:val="right"/>
              <w:rPr>
                <w:rFonts w:ascii="Times New Roman" w:hAnsi="Times New Roman" w:eastAsia="宋体" w:cs="Times New Roman"/>
                <w:kern w:val="0"/>
                <w:sz w:val="15"/>
                <w:szCs w:val="22"/>
              </w:rPr>
            </w:pPr>
            <w:r>
              <w:rPr>
                <w:rFonts w:ascii="Times New Roman" w:hAnsi="Times New Roman" w:eastAsia="宋体" w:cs="Times New Roman"/>
                <w:kern w:val="0"/>
                <w:sz w:val="15"/>
                <w:szCs w:val="22"/>
              </w:rPr>
              <w:t>2.707</w:t>
            </w:r>
          </w:p>
        </w:tc>
        <w:tc>
          <w:tcPr>
            <w:tcW w:w="554" w:type="dxa"/>
            <w:shd w:val="clear" w:color="auto" w:fill="auto"/>
            <w:vAlign w:val="center"/>
          </w:tcPr>
          <w:p>
            <w:pPr>
              <w:widowControl/>
              <w:jc w:val="right"/>
              <w:rPr>
                <w:rFonts w:ascii="Times New Roman" w:hAnsi="Times New Roman" w:eastAsia="宋体" w:cs="Times New Roman"/>
                <w:kern w:val="0"/>
                <w:sz w:val="15"/>
                <w:szCs w:val="22"/>
              </w:rPr>
            </w:pPr>
            <w:r>
              <w:rPr>
                <w:rFonts w:ascii="Times New Roman" w:hAnsi="Times New Roman" w:eastAsia="宋体" w:cs="Times New Roman"/>
                <w:kern w:val="0"/>
                <w:sz w:val="15"/>
                <w:szCs w:val="22"/>
              </w:rPr>
              <w:t>2.785</w:t>
            </w:r>
          </w:p>
        </w:tc>
        <w:tc>
          <w:tcPr>
            <w:tcW w:w="554" w:type="dxa"/>
            <w:shd w:val="clear" w:color="auto" w:fill="auto"/>
            <w:vAlign w:val="center"/>
          </w:tcPr>
          <w:p>
            <w:pPr>
              <w:widowControl/>
              <w:jc w:val="right"/>
              <w:rPr>
                <w:rFonts w:ascii="Times New Roman" w:hAnsi="Times New Roman" w:eastAsia="宋体" w:cs="Times New Roman"/>
                <w:kern w:val="0"/>
                <w:sz w:val="15"/>
                <w:szCs w:val="22"/>
              </w:rPr>
            </w:pPr>
            <w:r>
              <w:rPr>
                <w:rFonts w:ascii="Times New Roman" w:hAnsi="Times New Roman" w:eastAsia="宋体" w:cs="Times New Roman"/>
                <w:kern w:val="0"/>
                <w:sz w:val="15"/>
                <w:szCs w:val="22"/>
              </w:rPr>
              <w:t>2.6</w:t>
            </w:r>
            <w:r>
              <w:rPr>
                <w:rFonts w:hint="eastAsia" w:ascii="Times New Roman" w:hAnsi="Times New Roman" w:eastAsia="宋体" w:cs="Times New Roman"/>
                <w:kern w:val="0"/>
                <w:sz w:val="15"/>
                <w:szCs w:val="22"/>
              </w:rPr>
              <w:t>80</w:t>
            </w:r>
          </w:p>
        </w:tc>
        <w:tc>
          <w:tcPr>
            <w:tcW w:w="554" w:type="dxa"/>
            <w:shd w:val="clear" w:color="auto" w:fill="auto"/>
            <w:vAlign w:val="center"/>
          </w:tcPr>
          <w:p>
            <w:pPr>
              <w:widowControl/>
              <w:jc w:val="right"/>
              <w:rPr>
                <w:rFonts w:ascii="Times New Roman" w:hAnsi="Times New Roman" w:eastAsia="宋体" w:cs="Times New Roman"/>
                <w:kern w:val="0"/>
                <w:sz w:val="15"/>
                <w:szCs w:val="22"/>
              </w:rPr>
            </w:pPr>
            <w:r>
              <w:rPr>
                <w:rFonts w:ascii="Times New Roman" w:hAnsi="Times New Roman" w:eastAsia="宋体" w:cs="Times New Roman"/>
                <w:kern w:val="0"/>
                <w:sz w:val="15"/>
                <w:szCs w:val="22"/>
              </w:rPr>
              <w:t>2.62</w:t>
            </w:r>
            <w:r>
              <w:rPr>
                <w:rFonts w:hint="eastAsia" w:ascii="Times New Roman" w:hAnsi="Times New Roman" w:eastAsia="宋体" w:cs="Times New Roman"/>
                <w:kern w:val="0"/>
                <w:sz w:val="15"/>
                <w:szCs w:val="22"/>
              </w:rPr>
              <w:t>6</w:t>
            </w:r>
          </w:p>
        </w:tc>
      </w:tr>
    </w:tbl>
    <w:p>
      <w:pPr>
        <w:adjustRightInd w:val="0"/>
        <w:snapToGrid w:val="0"/>
        <w:ind w:firstLine="442" w:firstLineChars="200"/>
        <w:jc w:val="center"/>
        <w:rPr>
          <w:rFonts w:ascii="宋体" w:hAnsi="宋体" w:eastAsia="宋体" w:cs="宋体"/>
          <w:b/>
          <w:bCs/>
          <w:kern w:val="0"/>
          <w:sz w:val="22"/>
          <w:szCs w:val="22"/>
        </w:rPr>
      </w:pPr>
    </w:p>
    <w:p>
      <w:pPr>
        <w:pStyle w:val="2"/>
        <w:ind w:firstLine="0" w:firstLineChars="0"/>
      </w:pPr>
      <w:r>
        <w:drawing>
          <wp:inline distT="0" distB="0" distL="114300" distR="114300">
            <wp:extent cx="5196205" cy="2372360"/>
            <wp:effectExtent l="4445" t="4445" r="6350" b="10795"/>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pPr>
        <w:adjustRightInd w:val="0"/>
        <w:snapToGrid w:val="0"/>
        <w:spacing w:afterLines="50"/>
        <w:ind w:firstLine="482" w:firstLineChars="200"/>
        <w:jc w:val="center"/>
        <w:rPr>
          <w:rFonts w:ascii="Times New Roman" w:hAnsi="Times New Roman" w:eastAsia="仿宋_GB2312" w:cs="Times New Roman"/>
          <w:b/>
          <w:bCs/>
          <w:sz w:val="24"/>
        </w:rPr>
      </w:pPr>
      <w:r>
        <w:rPr>
          <w:rFonts w:hint="eastAsia" w:ascii="Times New Roman" w:hAnsi="Times New Roman" w:eastAsia="仿宋_GB2312" w:cs="Times New Roman"/>
          <w:b/>
          <w:bCs/>
          <w:sz w:val="24"/>
        </w:rPr>
        <w:t xml:space="preserve">图13 </w:t>
      </w:r>
      <w:r>
        <w:rPr>
          <w:rFonts w:ascii="Times New Roman" w:hAnsi="Times New Roman" w:eastAsia="仿宋_GB2312" w:cs="Times New Roman"/>
          <w:b/>
          <w:bCs/>
          <w:sz w:val="24"/>
        </w:rPr>
        <w:t xml:space="preserve"> 2010-2020</w:t>
      </w:r>
      <w:r>
        <w:rPr>
          <w:rFonts w:hint="eastAsia" w:ascii="Times New Roman" w:hAnsi="Times New Roman" w:eastAsia="仿宋_GB2312" w:cs="Times New Roman"/>
          <w:b/>
          <w:bCs/>
          <w:sz w:val="24"/>
        </w:rPr>
        <w:t>年陕西及全国汽车销量中占比情况（万辆）</w:t>
      </w:r>
    </w:p>
    <w:p>
      <w:pPr>
        <w:adjustRightInd w:val="0"/>
        <w:snapToGrid w:val="0"/>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表9为2018-2020年3年全国及陕西新能源汽车销售情况，由于新能源汽车保有量较少，且受推广政策影响较大，陕西在全国新能源汽车销量中占比变化较大；但长期来看，陕西新能源汽车销售占比态势将与汽车总体销量占比、汽车保有量占比趋同，因此“十四五”期间陕西新能源汽车销量占全国新能源汽车销量比例采用2010-2019年陕西在全国汽车销量占比的平均值（去掉最低值和最高值后取平均），为2.673%，可计算得出“十四五”期间陕西新能源汽车销量。</w:t>
      </w:r>
    </w:p>
    <w:p>
      <w:pPr>
        <w:adjustRightInd w:val="0"/>
        <w:snapToGrid w:val="0"/>
        <w:spacing w:beforeLines="50" w:line="580" w:lineRule="exact"/>
        <w:jc w:val="center"/>
        <w:rPr>
          <w:rFonts w:ascii="Times New Roman" w:hAnsi="Times New Roman" w:eastAsia="仿宋_GB2312" w:cs="Times New Roman"/>
          <w:b/>
          <w:bCs/>
          <w:sz w:val="24"/>
        </w:rPr>
      </w:pPr>
      <w:r>
        <w:rPr>
          <w:rFonts w:ascii="Times New Roman" w:hAnsi="Times New Roman" w:eastAsia="仿宋_GB2312" w:cs="Times New Roman"/>
          <w:b/>
          <w:bCs/>
          <w:sz w:val="24"/>
        </w:rPr>
        <w:t>表</w:t>
      </w:r>
      <w:r>
        <w:rPr>
          <w:rFonts w:hint="eastAsia" w:ascii="Times New Roman" w:hAnsi="Times New Roman" w:eastAsia="仿宋_GB2312" w:cs="Times New Roman"/>
          <w:b/>
          <w:bCs/>
          <w:sz w:val="24"/>
        </w:rPr>
        <w:t xml:space="preserve">12  </w:t>
      </w:r>
      <w:r>
        <w:rPr>
          <w:rFonts w:ascii="Times New Roman" w:hAnsi="Times New Roman" w:eastAsia="仿宋_GB2312" w:cs="Times New Roman"/>
          <w:b/>
          <w:bCs/>
          <w:sz w:val="24"/>
        </w:rPr>
        <w:t>陕西</w:t>
      </w:r>
      <w:r>
        <w:rPr>
          <w:rFonts w:hint="eastAsia" w:ascii="Times New Roman" w:hAnsi="Times New Roman" w:eastAsia="仿宋_GB2312" w:cs="Times New Roman"/>
          <w:b/>
          <w:bCs/>
          <w:sz w:val="24"/>
        </w:rPr>
        <w:t>新能源汽车“十四五”年销量预测（万辆）</w:t>
      </w:r>
    </w:p>
    <w:tbl>
      <w:tblPr>
        <w:tblStyle w:val="17"/>
        <w:tblW w:w="83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908"/>
        <w:gridCol w:w="942"/>
        <w:gridCol w:w="787"/>
        <w:gridCol w:w="1175"/>
        <w:gridCol w:w="1175"/>
        <w:gridCol w:w="1175"/>
        <w:gridCol w:w="1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1908" w:type="dxa"/>
            <w:tcBorders>
              <w:tl2br w:val="nil"/>
              <w:tr2bl w:val="nil"/>
            </w:tcBorders>
            <w:shd w:val="clear" w:color="auto" w:fill="auto"/>
            <w:tcMar>
              <w:top w:w="15" w:type="dxa"/>
              <w:left w:w="15" w:type="dxa"/>
              <w:right w:w="15" w:type="dxa"/>
            </w:tcMar>
            <w:vAlign w:val="center"/>
          </w:tcPr>
          <w:p>
            <w:pPr>
              <w:pStyle w:val="27"/>
              <w:spacing w:line="200" w:lineRule="exact"/>
              <w:jc w:val="center"/>
              <w:rPr>
                <w:rFonts w:ascii="仿宋" w:hAnsi="仿宋" w:eastAsia="仿宋"/>
              </w:rPr>
            </w:pPr>
            <w:r>
              <w:rPr>
                <w:rFonts w:hint="eastAsia" w:ascii="仿宋" w:hAnsi="仿宋" w:eastAsia="仿宋"/>
              </w:rPr>
              <w:t>年份</w:t>
            </w:r>
          </w:p>
        </w:tc>
        <w:tc>
          <w:tcPr>
            <w:tcW w:w="942" w:type="dxa"/>
            <w:tcBorders>
              <w:tl2br w:val="nil"/>
              <w:tr2bl w:val="nil"/>
            </w:tcBorders>
            <w:shd w:val="clear" w:color="auto" w:fill="auto"/>
            <w:tcMar>
              <w:top w:w="15" w:type="dxa"/>
              <w:left w:w="15" w:type="dxa"/>
              <w:right w:w="15" w:type="dxa"/>
            </w:tcMar>
            <w:vAlign w:val="center"/>
          </w:tcPr>
          <w:p>
            <w:pPr>
              <w:pStyle w:val="27"/>
              <w:spacing w:line="200" w:lineRule="exact"/>
              <w:jc w:val="center"/>
            </w:pPr>
            <w:r>
              <w:rPr>
                <w:rFonts w:hint="eastAsia"/>
              </w:rPr>
              <w:t>2021</w:t>
            </w:r>
          </w:p>
        </w:tc>
        <w:tc>
          <w:tcPr>
            <w:tcW w:w="787" w:type="dxa"/>
            <w:tcBorders>
              <w:tl2br w:val="nil"/>
              <w:tr2bl w:val="nil"/>
            </w:tcBorders>
            <w:shd w:val="clear" w:color="auto" w:fill="auto"/>
            <w:tcMar>
              <w:top w:w="15" w:type="dxa"/>
              <w:left w:w="15" w:type="dxa"/>
              <w:right w:w="15" w:type="dxa"/>
            </w:tcMar>
            <w:vAlign w:val="center"/>
          </w:tcPr>
          <w:p>
            <w:pPr>
              <w:pStyle w:val="27"/>
              <w:spacing w:line="200" w:lineRule="exact"/>
              <w:jc w:val="center"/>
            </w:pPr>
            <w:r>
              <w:rPr>
                <w:rFonts w:hint="eastAsia"/>
              </w:rPr>
              <w:t>2022</w:t>
            </w:r>
          </w:p>
        </w:tc>
        <w:tc>
          <w:tcPr>
            <w:tcW w:w="1175" w:type="dxa"/>
            <w:tcBorders>
              <w:tl2br w:val="nil"/>
              <w:tr2bl w:val="nil"/>
            </w:tcBorders>
            <w:shd w:val="clear" w:color="auto" w:fill="auto"/>
            <w:tcMar>
              <w:top w:w="15" w:type="dxa"/>
              <w:left w:w="15" w:type="dxa"/>
              <w:right w:w="15" w:type="dxa"/>
            </w:tcMar>
            <w:vAlign w:val="center"/>
          </w:tcPr>
          <w:p>
            <w:pPr>
              <w:pStyle w:val="27"/>
              <w:spacing w:line="200" w:lineRule="exact"/>
              <w:jc w:val="center"/>
            </w:pPr>
            <w:r>
              <w:rPr>
                <w:rFonts w:hint="eastAsia"/>
              </w:rPr>
              <w:t>2023</w:t>
            </w:r>
          </w:p>
        </w:tc>
        <w:tc>
          <w:tcPr>
            <w:tcW w:w="1175" w:type="dxa"/>
            <w:tcBorders>
              <w:tl2br w:val="nil"/>
              <w:tr2bl w:val="nil"/>
            </w:tcBorders>
            <w:shd w:val="clear" w:color="auto" w:fill="auto"/>
            <w:tcMar>
              <w:top w:w="15" w:type="dxa"/>
              <w:left w:w="15" w:type="dxa"/>
              <w:right w:w="15" w:type="dxa"/>
            </w:tcMar>
            <w:vAlign w:val="center"/>
          </w:tcPr>
          <w:p>
            <w:pPr>
              <w:pStyle w:val="27"/>
              <w:spacing w:line="200" w:lineRule="exact"/>
              <w:jc w:val="center"/>
            </w:pPr>
            <w:r>
              <w:rPr>
                <w:rFonts w:hint="eastAsia"/>
              </w:rPr>
              <w:t>2024</w:t>
            </w:r>
          </w:p>
        </w:tc>
        <w:tc>
          <w:tcPr>
            <w:tcW w:w="1175" w:type="dxa"/>
            <w:tcBorders>
              <w:tl2br w:val="nil"/>
              <w:tr2bl w:val="nil"/>
            </w:tcBorders>
            <w:shd w:val="clear" w:color="auto" w:fill="auto"/>
            <w:tcMar>
              <w:top w:w="15" w:type="dxa"/>
              <w:left w:w="15" w:type="dxa"/>
              <w:right w:w="15" w:type="dxa"/>
            </w:tcMar>
            <w:vAlign w:val="center"/>
          </w:tcPr>
          <w:p>
            <w:pPr>
              <w:pStyle w:val="27"/>
              <w:spacing w:line="200" w:lineRule="exact"/>
              <w:jc w:val="center"/>
            </w:pPr>
            <w:r>
              <w:rPr>
                <w:rFonts w:hint="eastAsia"/>
              </w:rPr>
              <w:t>2025</w:t>
            </w:r>
          </w:p>
        </w:tc>
        <w:tc>
          <w:tcPr>
            <w:tcW w:w="1174" w:type="dxa"/>
            <w:tcBorders>
              <w:tl2br w:val="nil"/>
              <w:tr2bl w:val="nil"/>
            </w:tcBorders>
            <w:shd w:val="clear" w:color="auto" w:fill="auto"/>
            <w:tcMar>
              <w:top w:w="15" w:type="dxa"/>
              <w:left w:w="15" w:type="dxa"/>
              <w:right w:w="15" w:type="dxa"/>
            </w:tcMar>
            <w:vAlign w:val="center"/>
          </w:tcPr>
          <w:p>
            <w:pPr>
              <w:pStyle w:val="27"/>
              <w:spacing w:line="200" w:lineRule="exact"/>
              <w:jc w:val="center"/>
            </w:pPr>
            <w:r>
              <w:rPr>
                <w:rFonts w:hint="eastAsia"/>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1908" w:type="dxa"/>
            <w:tcBorders>
              <w:tl2br w:val="nil"/>
              <w:tr2bl w:val="nil"/>
            </w:tcBorders>
            <w:shd w:val="clear" w:color="auto" w:fill="auto"/>
            <w:tcMar>
              <w:top w:w="15" w:type="dxa"/>
              <w:left w:w="15" w:type="dxa"/>
              <w:right w:w="15" w:type="dxa"/>
            </w:tcMar>
            <w:vAlign w:val="center"/>
          </w:tcPr>
          <w:p>
            <w:pPr>
              <w:pStyle w:val="27"/>
              <w:spacing w:line="200" w:lineRule="exact"/>
              <w:jc w:val="center"/>
              <w:rPr>
                <w:rFonts w:ascii="仿宋" w:hAnsi="仿宋" w:eastAsia="仿宋"/>
              </w:rPr>
            </w:pPr>
            <w:r>
              <w:rPr>
                <w:rFonts w:hint="eastAsia" w:ascii="仿宋" w:hAnsi="仿宋" w:eastAsia="仿宋"/>
              </w:rPr>
              <w:t>新能源汽车销量</w:t>
            </w:r>
          </w:p>
        </w:tc>
        <w:tc>
          <w:tcPr>
            <w:tcW w:w="942" w:type="dxa"/>
            <w:tcBorders>
              <w:tl2br w:val="nil"/>
              <w:tr2bl w:val="nil"/>
            </w:tcBorders>
            <w:shd w:val="clear" w:color="auto" w:fill="auto"/>
            <w:tcMar>
              <w:top w:w="15" w:type="dxa"/>
              <w:left w:w="15" w:type="dxa"/>
              <w:right w:w="15" w:type="dxa"/>
            </w:tcMar>
            <w:vAlign w:val="center"/>
          </w:tcPr>
          <w:p>
            <w:pPr>
              <w:pStyle w:val="27"/>
              <w:spacing w:line="200" w:lineRule="exact"/>
              <w:jc w:val="center"/>
            </w:pPr>
            <w:r>
              <w:rPr>
                <w:rFonts w:hint="eastAsia"/>
                <w:sz w:val="22"/>
                <w:szCs w:val="22"/>
              </w:rPr>
              <w:t>5.4</w:t>
            </w:r>
          </w:p>
        </w:tc>
        <w:tc>
          <w:tcPr>
            <w:tcW w:w="787" w:type="dxa"/>
            <w:tcBorders>
              <w:tl2br w:val="nil"/>
              <w:tr2bl w:val="nil"/>
            </w:tcBorders>
            <w:shd w:val="clear" w:color="auto" w:fill="auto"/>
            <w:tcMar>
              <w:top w:w="15" w:type="dxa"/>
              <w:left w:w="15" w:type="dxa"/>
              <w:right w:w="15" w:type="dxa"/>
            </w:tcMar>
            <w:vAlign w:val="center"/>
          </w:tcPr>
          <w:p>
            <w:pPr>
              <w:pStyle w:val="27"/>
              <w:spacing w:line="200" w:lineRule="exact"/>
              <w:jc w:val="center"/>
            </w:pPr>
            <w:r>
              <w:rPr>
                <w:rFonts w:hint="eastAsia"/>
                <w:sz w:val="22"/>
                <w:szCs w:val="22"/>
              </w:rPr>
              <w:t>7.6</w:t>
            </w:r>
          </w:p>
        </w:tc>
        <w:tc>
          <w:tcPr>
            <w:tcW w:w="1175" w:type="dxa"/>
            <w:tcBorders>
              <w:tl2br w:val="nil"/>
              <w:tr2bl w:val="nil"/>
            </w:tcBorders>
            <w:shd w:val="clear" w:color="auto" w:fill="auto"/>
            <w:tcMar>
              <w:top w:w="15" w:type="dxa"/>
              <w:left w:w="15" w:type="dxa"/>
              <w:right w:w="15" w:type="dxa"/>
            </w:tcMar>
            <w:vAlign w:val="center"/>
          </w:tcPr>
          <w:p>
            <w:pPr>
              <w:pStyle w:val="27"/>
              <w:spacing w:line="200" w:lineRule="exact"/>
              <w:jc w:val="center"/>
            </w:pPr>
            <w:r>
              <w:rPr>
                <w:rFonts w:hint="eastAsia"/>
                <w:sz w:val="22"/>
                <w:szCs w:val="22"/>
              </w:rPr>
              <w:t>9.9</w:t>
            </w:r>
          </w:p>
        </w:tc>
        <w:tc>
          <w:tcPr>
            <w:tcW w:w="1175" w:type="dxa"/>
            <w:tcBorders>
              <w:tl2br w:val="nil"/>
              <w:tr2bl w:val="nil"/>
            </w:tcBorders>
            <w:shd w:val="clear" w:color="auto" w:fill="auto"/>
            <w:tcMar>
              <w:top w:w="15" w:type="dxa"/>
              <w:left w:w="15" w:type="dxa"/>
              <w:right w:w="15" w:type="dxa"/>
            </w:tcMar>
            <w:vAlign w:val="center"/>
          </w:tcPr>
          <w:p>
            <w:pPr>
              <w:pStyle w:val="27"/>
              <w:spacing w:line="200" w:lineRule="exact"/>
              <w:jc w:val="center"/>
            </w:pPr>
            <w:r>
              <w:rPr>
                <w:rFonts w:hint="eastAsia"/>
                <w:sz w:val="22"/>
                <w:szCs w:val="22"/>
              </w:rPr>
              <w:t>12.3</w:t>
            </w:r>
          </w:p>
        </w:tc>
        <w:tc>
          <w:tcPr>
            <w:tcW w:w="1175" w:type="dxa"/>
            <w:tcBorders>
              <w:tl2br w:val="nil"/>
              <w:tr2bl w:val="nil"/>
            </w:tcBorders>
            <w:shd w:val="clear" w:color="auto" w:fill="auto"/>
            <w:tcMar>
              <w:top w:w="15" w:type="dxa"/>
              <w:left w:w="15" w:type="dxa"/>
              <w:right w:w="15" w:type="dxa"/>
            </w:tcMar>
            <w:vAlign w:val="center"/>
          </w:tcPr>
          <w:p>
            <w:pPr>
              <w:pStyle w:val="27"/>
              <w:spacing w:line="200" w:lineRule="exact"/>
              <w:jc w:val="center"/>
            </w:pPr>
            <w:r>
              <w:rPr>
                <w:rFonts w:hint="eastAsia"/>
                <w:sz w:val="22"/>
                <w:szCs w:val="22"/>
              </w:rPr>
              <w:t>14.6</w:t>
            </w:r>
          </w:p>
        </w:tc>
        <w:tc>
          <w:tcPr>
            <w:tcW w:w="1174" w:type="dxa"/>
            <w:tcBorders>
              <w:tl2br w:val="nil"/>
              <w:tr2bl w:val="nil"/>
            </w:tcBorders>
            <w:shd w:val="clear" w:color="auto" w:fill="auto"/>
            <w:tcMar>
              <w:top w:w="15" w:type="dxa"/>
              <w:left w:w="15" w:type="dxa"/>
              <w:right w:w="15" w:type="dxa"/>
            </w:tcMar>
            <w:vAlign w:val="center"/>
          </w:tcPr>
          <w:p>
            <w:pPr>
              <w:pStyle w:val="27"/>
              <w:spacing w:line="200" w:lineRule="exact"/>
              <w:jc w:val="center"/>
            </w:pPr>
            <w:r>
              <w:rPr>
                <w:rFonts w:hint="eastAsia"/>
                <w:sz w:val="22"/>
                <w:szCs w:val="22"/>
              </w:rPr>
              <w:t>49.8</w:t>
            </w:r>
          </w:p>
        </w:tc>
      </w:tr>
    </w:tbl>
    <w:p>
      <w:pPr>
        <w:pStyle w:val="2"/>
        <w:spacing w:afterLines="50"/>
        <w:jc w:val="center"/>
        <w:rPr>
          <w:rFonts w:eastAsia="仿宋_GB2312"/>
          <w:b/>
          <w:bCs/>
          <w:sz w:val="24"/>
        </w:rPr>
      </w:pPr>
      <w:r>
        <w:drawing>
          <wp:inline distT="0" distB="0" distL="0" distR="0">
            <wp:extent cx="4993005" cy="1924050"/>
            <wp:effectExtent l="0" t="0" r="0" b="0"/>
            <wp:docPr id="17"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Pr>
          <w:rFonts w:eastAsia="仿宋_GB2312"/>
          <w:b/>
          <w:bCs/>
          <w:sz w:val="24"/>
        </w:rPr>
        <w:t>图</w:t>
      </w:r>
      <w:r>
        <w:rPr>
          <w:rFonts w:hint="eastAsia" w:eastAsia="仿宋_GB2312"/>
          <w:b/>
          <w:bCs/>
          <w:sz w:val="24"/>
        </w:rPr>
        <w:t xml:space="preserve">14  </w:t>
      </w:r>
      <w:r>
        <w:rPr>
          <w:rFonts w:eastAsia="仿宋_GB2312"/>
          <w:b/>
          <w:bCs/>
          <w:sz w:val="24"/>
        </w:rPr>
        <w:t>陕西</w:t>
      </w:r>
      <w:r>
        <w:rPr>
          <w:rFonts w:hint="eastAsia" w:eastAsia="仿宋_GB2312"/>
          <w:b/>
          <w:bCs/>
          <w:sz w:val="24"/>
        </w:rPr>
        <w:t>新能源汽车“十四五”年销量预测（万辆）</w:t>
      </w:r>
    </w:p>
    <w:p>
      <w:pPr>
        <w:adjustRightInd w:val="0"/>
        <w:snapToGrid w:val="0"/>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2020年底陕西新能源汽车保有量约为12万辆，根据上述分析，“十四五”末陕西新能源汽车保有量将达到62.1万辆。</w:t>
      </w:r>
    </w:p>
    <w:p>
      <w:pPr>
        <w:adjustRightInd w:val="0"/>
        <w:snapToGrid w:val="0"/>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（3）相关机构分析预测情况</w:t>
      </w:r>
    </w:p>
    <w:p>
      <w:pPr>
        <w:adjustRightInd w:val="0"/>
        <w:snapToGrid w:val="0"/>
        <w:spacing w:line="580" w:lineRule="exact"/>
        <w:ind w:firstLine="640" w:firstLineChars="200"/>
        <w:rPr>
          <w:rFonts w:ascii="Times New Roman" w:hAnsi="Times New Roman" w:eastAsia="仿宋_GB2312" w:cs="Times New Roman"/>
          <w:sz w:val="32"/>
          <w:szCs w:val="32"/>
        </w:rPr>
      </w:pPr>
      <w:r>
        <w:rPr>
          <w:rFonts w:hint="eastAsia" w:eastAsia="仿宋_GB2312"/>
          <w:sz w:val="32"/>
          <w:szCs w:val="32"/>
        </w:rPr>
        <w:t>根据中国充电联盟相关数</w:t>
      </w:r>
      <w:r>
        <w:rPr>
          <w:rFonts w:hint="eastAsia" w:ascii="Times New Roman" w:hAnsi="Times New Roman" w:eastAsia="仿宋_GB2312" w:cs="Times New Roman"/>
          <w:sz w:val="32"/>
          <w:szCs w:val="32"/>
        </w:rPr>
        <w:t>据，</w:t>
      </w:r>
      <w:r>
        <w:rPr>
          <w:rFonts w:ascii="Times New Roman" w:hAnsi="Times New Roman" w:eastAsia="仿宋_GB2312" w:cs="Times New Roman"/>
          <w:sz w:val="32"/>
          <w:szCs w:val="32"/>
        </w:rPr>
        <w:t>2025</w:t>
      </w:r>
      <w:r>
        <w:rPr>
          <w:rFonts w:hint="eastAsia" w:ascii="Times New Roman" w:hAnsi="Times New Roman" w:eastAsia="仿宋_GB2312" w:cs="Times New Roman"/>
          <w:sz w:val="32"/>
          <w:szCs w:val="32"/>
        </w:rPr>
        <w:t>年末国内新能源汽车保有量为</w:t>
      </w:r>
      <w:r>
        <w:rPr>
          <w:rFonts w:ascii="Times New Roman" w:hAnsi="Times New Roman" w:eastAsia="仿宋_GB2312" w:cs="Times New Roman"/>
          <w:sz w:val="32"/>
          <w:szCs w:val="32"/>
        </w:rPr>
        <w:t>2220</w:t>
      </w:r>
      <w:r>
        <w:rPr>
          <w:rFonts w:hint="eastAsia" w:ascii="Times New Roman" w:hAnsi="Times New Roman" w:eastAsia="仿宋_GB2312" w:cs="Times New Roman"/>
          <w:sz w:val="32"/>
          <w:szCs w:val="32"/>
        </w:rPr>
        <w:t>万辆，由上述“</w:t>
      </w:r>
      <w:r>
        <w:rPr>
          <w:rFonts w:ascii="Times New Roman" w:hAnsi="Times New Roman" w:eastAsia="仿宋_GB2312" w:cs="Times New Roman"/>
          <w:sz w:val="32"/>
          <w:szCs w:val="32"/>
        </w:rPr>
        <w:t>政策分析法</w:t>
      </w:r>
      <w:r>
        <w:rPr>
          <w:rFonts w:hint="eastAsia" w:ascii="Times New Roman" w:hAnsi="Times New Roman" w:eastAsia="仿宋_GB2312" w:cs="Times New Roman"/>
          <w:sz w:val="32"/>
          <w:szCs w:val="32"/>
        </w:rPr>
        <w:t>”中相关分析，考虑陕西经济社会发展较快，陕西人均电动汽车拥有量与全国水平相当，则根据中国充电联盟数据分析，</w:t>
      </w:r>
      <w:r>
        <w:rPr>
          <w:rFonts w:ascii="Times New Roman" w:hAnsi="Times New Roman" w:eastAsia="仿宋_GB2312" w:cs="Times New Roman"/>
          <w:sz w:val="32"/>
          <w:szCs w:val="32"/>
        </w:rPr>
        <w:t>2025</w:t>
      </w:r>
      <w:r>
        <w:rPr>
          <w:rFonts w:hint="eastAsia" w:ascii="Times New Roman" w:hAnsi="Times New Roman" w:eastAsia="仿宋_GB2312" w:cs="Times New Roman"/>
          <w:sz w:val="32"/>
          <w:szCs w:val="32"/>
        </w:rPr>
        <w:t>年末陕西新能源汽车保有量为</w:t>
      </w:r>
      <w:r>
        <w:rPr>
          <w:rFonts w:ascii="Times New Roman" w:hAnsi="Times New Roman" w:eastAsia="仿宋_GB2312" w:cs="Times New Roman"/>
          <w:sz w:val="32"/>
          <w:szCs w:val="32"/>
        </w:rPr>
        <w:t>61.5</w:t>
      </w:r>
      <w:r>
        <w:rPr>
          <w:rFonts w:hint="eastAsia" w:ascii="Times New Roman" w:hAnsi="Times New Roman" w:eastAsia="仿宋_GB2312" w:cs="Times New Roman"/>
          <w:sz w:val="32"/>
          <w:szCs w:val="32"/>
        </w:rPr>
        <w:t>万辆，与平均增长率法中方案及政策分析法预测结果相近。</w:t>
      </w:r>
    </w:p>
    <w:p>
      <w:pPr>
        <w:adjustRightInd w:val="0"/>
        <w:snapToGrid w:val="0"/>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（4）省内电动汽车保有量预测结果分析</w:t>
      </w:r>
    </w:p>
    <w:p>
      <w:pPr>
        <w:adjustRightInd w:val="0"/>
        <w:snapToGrid w:val="0"/>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省内电动汽车发展目标的制定应结合以下因素：</w:t>
      </w:r>
    </w:p>
    <w:p>
      <w:pPr>
        <w:adjustRightInd w:val="0"/>
        <w:snapToGrid w:val="0"/>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是“十四五”期间电动汽车经济性及性能不断提高、产品不断成熟，同时电动汽车类型逐步丰富，乘用车方面覆盖了从代步车到高端车全系列，消费需求覆盖更全面，消费者选择性更多样，同时客运、货运、工程等领域电动汽车实用性也不断提高，电动汽车产品自身吸引力不断增加；</w:t>
      </w:r>
    </w:p>
    <w:p>
      <w:pPr>
        <w:adjustRightInd w:val="0"/>
        <w:snapToGrid w:val="0"/>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二是治污降霾、“碳达峰”“碳中和”等环境保护要求将越来越严格，相关政策必将持续推进以电动汽车为主的环保车型推广应用；</w:t>
      </w:r>
    </w:p>
    <w:p>
      <w:pPr>
        <w:pStyle w:val="2"/>
        <w:ind w:firstLine="640"/>
        <w:rPr>
          <w:rFonts w:eastAsia="仿宋_GB2312"/>
          <w:sz w:val="32"/>
          <w:szCs w:val="32"/>
        </w:rPr>
      </w:pPr>
      <w:r>
        <w:rPr>
          <w:rFonts w:hint="eastAsia" w:ascii="仿宋_GB2312" w:eastAsia="仿宋_GB2312"/>
          <w:sz w:val="32"/>
          <w:szCs w:val="32"/>
        </w:rPr>
        <w:t>三是陕西省经济发展增速较快，居民收入</w:t>
      </w:r>
      <w:r>
        <w:rPr>
          <w:rFonts w:hint="eastAsia" w:eastAsia="仿宋_GB2312"/>
          <w:sz w:val="32"/>
          <w:szCs w:val="32"/>
        </w:rPr>
        <w:t>及各级财政收入不断增加，对电动汽车的接受度将持续提升，预计“十四五”期间省内电动汽车保有量增长率将高于</w:t>
      </w:r>
      <w:r>
        <w:rPr>
          <w:rFonts w:eastAsia="仿宋_GB2312"/>
          <w:sz w:val="32"/>
          <w:szCs w:val="32"/>
        </w:rPr>
        <w:t>2017-2020</w:t>
      </w:r>
      <w:r>
        <w:rPr>
          <w:rFonts w:hint="eastAsia" w:eastAsia="仿宋_GB2312"/>
          <w:sz w:val="32"/>
          <w:szCs w:val="32"/>
        </w:rPr>
        <w:t>年；</w:t>
      </w:r>
    </w:p>
    <w:p>
      <w:pPr>
        <w:pStyle w:val="2"/>
        <w:ind w:firstLine="640"/>
        <w:rPr>
          <w:rFonts w:eastAsia="仿宋_GB2312"/>
          <w:sz w:val="32"/>
          <w:szCs w:val="32"/>
        </w:rPr>
      </w:pPr>
      <w:r>
        <w:rPr>
          <w:rFonts w:hint="eastAsia" w:eastAsia="仿宋_GB2312"/>
          <w:sz w:val="32"/>
          <w:szCs w:val="32"/>
        </w:rPr>
        <w:t>四是省内电动汽车发展目标的制定应重点结合国家发展目标，陕西省新能源汽车“十四五”末销量需达到国家新能源汽车产业发展规划中提到的到</w:t>
      </w:r>
      <w:r>
        <w:rPr>
          <w:rFonts w:eastAsia="仿宋_GB2312"/>
          <w:sz w:val="32"/>
          <w:szCs w:val="32"/>
        </w:rPr>
        <w:t>2025</w:t>
      </w:r>
      <w:r>
        <w:rPr>
          <w:rFonts w:hint="eastAsia" w:eastAsia="仿宋_GB2312"/>
          <w:sz w:val="32"/>
          <w:szCs w:val="32"/>
        </w:rPr>
        <w:t>年“新能源汽车新车销售量达到汽车新车销售总量的</w:t>
      </w:r>
      <w:r>
        <w:rPr>
          <w:rFonts w:eastAsia="仿宋_GB2312"/>
          <w:sz w:val="32"/>
          <w:szCs w:val="32"/>
        </w:rPr>
        <w:t>20%</w:t>
      </w:r>
      <w:r>
        <w:rPr>
          <w:rFonts w:hint="eastAsia" w:eastAsia="仿宋_GB2312"/>
          <w:sz w:val="32"/>
          <w:szCs w:val="32"/>
        </w:rPr>
        <w:t>左右”。</w:t>
      </w:r>
    </w:p>
    <w:p>
      <w:pPr>
        <w:pStyle w:val="2"/>
        <w:ind w:firstLine="640"/>
        <w:rPr>
          <w:rFonts w:eastAsia="仿宋_GB2312"/>
          <w:sz w:val="32"/>
          <w:szCs w:val="32"/>
        </w:rPr>
      </w:pPr>
      <w:r>
        <w:rPr>
          <w:rFonts w:hint="eastAsia" w:eastAsia="仿宋_GB2312"/>
          <w:sz w:val="32"/>
          <w:szCs w:val="32"/>
        </w:rPr>
        <w:t>结合以上分析，“十四五”末省内电动汽车保有量应达到</w:t>
      </w:r>
      <w:r>
        <w:rPr>
          <w:rFonts w:eastAsia="仿宋_GB2312"/>
          <w:sz w:val="32"/>
          <w:szCs w:val="32"/>
        </w:rPr>
        <w:t>60</w:t>
      </w:r>
      <w:r>
        <w:rPr>
          <w:rFonts w:hint="eastAsia" w:eastAsia="仿宋_GB2312"/>
          <w:sz w:val="32"/>
          <w:szCs w:val="32"/>
        </w:rPr>
        <w:t>万辆以上，届时省内电动汽车保有量渗透率将达到</w:t>
      </w:r>
      <w:r>
        <w:rPr>
          <w:rFonts w:eastAsia="仿宋_GB2312"/>
          <w:sz w:val="32"/>
          <w:szCs w:val="32"/>
        </w:rPr>
        <w:t>6%</w:t>
      </w:r>
      <w:r>
        <w:rPr>
          <w:rFonts w:hint="eastAsia" w:eastAsia="仿宋_GB2312"/>
          <w:sz w:val="32"/>
          <w:szCs w:val="32"/>
        </w:rPr>
        <w:t>以上。</w:t>
      </w:r>
    </w:p>
    <w:p>
      <w:pPr>
        <w:pStyle w:val="2"/>
        <w:ind w:firstLine="640"/>
        <w:rPr>
          <w:rFonts w:eastAsia="仿宋_GB2312"/>
          <w:sz w:val="32"/>
          <w:szCs w:val="32"/>
        </w:rPr>
      </w:pPr>
      <w:r>
        <w:rPr>
          <w:rFonts w:hint="eastAsia" w:eastAsia="仿宋_GB2312"/>
          <w:sz w:val="32"/>
          <w:szCs w:val="32"/>
        </w:rPr>
        <w:t>同时考虑到电动汽车技术发展迭代速度不断加快，陕西省将发展新能源汽车产业作为“十四五”重要战略目标，加之陕西城乡物流产业将呈现较快增长，新能源汽车及充电设施的各项支持政策、标准、规范等均在不断完善，“</w:t>
      </w:r>
      <w:r>
        <w:rPr>
          <w:rFonts w:eastAsia="仿宋_GB2312"/>
          <w:sz w:val="32"/>
          <w:szCs w:val="32"/>
        </w:rPr>
        <w:t>十四五</w:t>
      </w:r>
      <w:r>
        <w:rPr>
          <w:rFonts w:hint="eastAsia" w:eastAsia="仿宋_GB2312"/>
          <w:sz w:val="32"/>
          <w:szCs w:val="32"/>
        </w:rPr>
        <w:t>”期间有可能迎来电动汽车爆发式增长，若“十四五”期间保有量平均年增长率维持在50%以上，省内电动汽车保有量将达到甚至超过一百万辆。</w:t>
      </w:r>
    </w:p>
    <w:p>
      <w:pPr>
        <w:pStyle w:val="2"/>
        <w:ind w:firstLine="640"/>
        <w:rPr>
          <w:rFonts w:eastAsia="仿宋_GB2312"/>
          <w:sz w:val="32"/>
          <w:szCs w:val="32"/>
        </w:rPr>
      </w:pPr>
      <w:r>
        <w:rPr>
          <w:rFonts w:hint="eastAsia" w:eastAsia="仿宋_GB2312"/>
          <w:sz w:val="32"/>
          <w:szCs w:val="32"/>
        </w:rPr>
        <w:t>但由于目前电动汽车发展还有赖于政策推动，受制于一系列因素的不确定性，例如政策支持力度减小，电动汽车技术发展缓慢等，省内电动汽车保有量增长率若维持在30%及以下水平，“十四五”末省内电动汽车保有量为40余万辆或更少水平。</w:t>
      </w:r>
    </w:p>
    <w:p>
      <w:pPr>
        <w:pStyle w:val="5"/>
        <w:spacing w:line="580" w:lineRule="exact"/>
        <w:ind w:firstLine="643"/>
      </w:pPr>
      <w:r>
        <w:rPr>
          <w:rFonts w:hint="eastAsia"/>
        </w:rPr>
        <w:t>2.分车型预测</w:t>
      </w:r>
    </w:p>
    <w:p>
      <w:pPr>
        <w:adjustRightInd w:val="0"/>
        <w:snapToGrid w:val="0"/>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根据各类型车辆近年保有量情况及省内电动汽车总量预测，分析“十四五”期间保有量，结合各型车使用年限及更新车辆中电动汽车占比要求等因素，估算各型电动汽车保有量。</w:t>
      </w:r>
    </w:p>
    <w:p>
      <w:pPr>
        <w:pStyle w:val="26"/>
        <w:spacing w:beforeLines="50" w:line="580" w:lineRule="exact"/>
        <w:ind w:firstLine="0"/>
        <w:rPr>
          <w:bCs/>
          <w:sz w:val="22"/>
          <w:szCs w:val="22"/>
        </w:rPr>
      </w:pPr>
      <w:r>
        <w:rPr>
          <w:rFonts w:hint="eastAsia" w:eastAsia="仿宋_GB2312"/>
          <w:bCs/>
          <w:sz w:val="24"/>
          <w:szCs w:val="24"/>
        </w:rPr>
        <w:t xml:space="preserve">表13  </w:t>
      </w:r>
      <w:r>
        <w:rPr>
          <w:rFonts w:eastAsia="仿宋_GB2312"/>
          <w:bCs/>
          <w:sz w:val="24"/>
          <w:szCs w:val="24"/>
        </w:rPr>
        <w:t>2016-20</w:t>
      </w:r>
      <w:r>
        <w:rPr>
          <w:rFonts w:hint="eastAsia" w:eastAsia="仿宋_GB2312"/>
          <w:bCs/>
          <w:sz w:val="24"/>
          <w:szCs w:val="24"/>
        </w:rPr>
        <w:t>19</w:t>
      </w:r>
      <w:r>
        <w:rPr>
          <w:rFonts w:eastAsia="仿宋_GB2312"/>
          <w:bCs/>
          <w:sz w:val="24"/>
          <w:szCs w:val="24"/>
        </w:rPr>
        <w:t>年</w:t>
      </w:r>
      <w:r>
        <w:rPr>
          <w:rFonts w:hint="eastAsia" w:eastAsia="仿宋_GB2312"/>
          <w:bCs/>
          <w:sz w:val="24"/>
          <w:szCs w:val="24"/>
        </w:rPr>
        <w:t>全省多类车型保有量</w:t>
      </w:r>
      <w:r>
        <w:rPr>
          <w:rStyle w:val="24"/>
          <w:bCs/>
          <w:sz w:val="22"/>
          <w:szCs w:val="22"/>
        </w:rPr>
        <w:footnoteReference w:id="8"/>
      </w:r>
    </w:p>
    <w:tbl>
      <w:tblPr>
        <w:tblStyle w:val="17"/>
        <w:tblW w:w="852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435"/>
        <w:gridCol w:w="1219"/>
        <w:gridCol w:w="1219"/>
        <w:gridCol w:w="1219"/>
        <w:gridCol w:w="1215"/>
        <w:gridCol w:w="12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4" w:hRule="atLeast"/>
          <w:jc w:val="center"/>
        </w:trPr>
        <w:tc>
          <w:tcPr>
            <w:tcW w:w="2435" w:type="dxa"/>
            <w:vAlign w:val="center"/>
          </w:tcPr>
          <w:p>
            <w:pPr>
              <w:pStyle w:val="27"/>
              <w:spacing w:line="200" w:lineRule="exact"/>
              <w:jc w:val="center"/>
              <w:rPr>
                <w:rFonts w:ascii="仿宋" w:hAnsi="仿宋" w:eastAsia="仿宋"/>
              </w:rPr>
            </w:pPr>
            <w:r>
              <w:rPr>
                <w:rFonts w:hint="eastAsia" w:ascii="仿宋" w:hAnsi="仿宋" w:eastAsia="仿宋"/>
              </w:rPr>
              <w:t>年份</w:t>
            </w:r>
          </w:p>
        </w:tc>
        <w:tc>
          <w:tcPr>
            <w:tcW w:w="1219" w:type="dxa"/>
            <w:vAlign w:val="center"/>
          </w:tcPr>
          <w:p>
            <w:pPr>
              <w:pStyle w:val="27"/>
              <w:spacing w:line="200" w:lineRule="exact"/>
              <w:jc w:val="center"/>
            </w:pPr>
            <w:r>
              <w:rPr>
                <w:rFonts w:hint="eastAsia"/>
              </w:rPr>
              <w:t>2016</w:t>
            </w:r>
          </w:p>
        </w:tc>
        <w:tc>
          <w:tcPr>
            <w:tcW w:w="1219" w:type="dxa"/>
            <w:vAlign w:val="center"/>
          </w:tcPr>
          <w:p>
            <w:pPr>
              <w:pStyle w:val="27"/>
              <w:spacing w:line="200" w:lineRule="exact"/>
              <w:jc w:val="center"/>
            </w:pPr>
            <w:r>
              <w:rPr>
                <w:rFonts w:hint="eastAsia"/>
              </w:rPr>
              <w:t>2017</w:t>
            </w:r>
          </w:p>
        </w:tc>
        <w:tc>
          <w:tcPr>
            <w:tcW w:w="1219" w:type="dxa"/>
            <w:vAlign w:val="center"/>
          </w:tcPr>
          <w:p>
            <w:pPr>
              <w:pStyle w:val="27"/>
              <w:spacing w:line="200" w:lineRule="exact"/>
              <w:jc w:val="center"/>
            </w:pPr>
            <w:r>
              <w:rPr>
                <w:rFonts w:hint="eastAsia"/>
              </w:rPr>
              <w:t>2018</w:t>
            </w:r>
          </w:p>
        </w:tc>
        <w:tc>
          <w:tcPr>
            <w:tcW w:w="1215" w:type="dxa"/>
            <w:vAlign w:val="center"/>
          </w:tcPr>
          <w:p>
            <w:pPr>
              <w:pStyle w:val="27"/>
              <w:spacing w:line="200" w:lineRule="exact"/>
              <w:jc w:val="center"/>
            </w:pPr>
            <w:r>
              <w:rPr>
                <w:rFonts w:hint="eastAsia"/>
              </w:rPr>
              <w:t>2019</w:t>
            </w:r>
          </w:p>
        </w:tc>
        <w:tc>
          <w:tcPr>
            <w:tcW w:w="1215" w:type="dxa"/>
            <w:vAlign w:val="center"/>
          </w:tcPr>
          <w:p>
            <w:pPr>
              <w:pStyle w:val="27"/>
              <w:spacing w:line="200" w:lineRule="exact"/>
              <w:jc w:val="center"/>
            </w:pPr>
            <w:r>
              <w:rPr>
                <w:rFonts w:hint="eastAsia"/>
              </w:rPr>
              <w:t>2020</w:t>
            </w:r>
            <w:r>
              <w:rPr>
                <w:rStyle w:val="24"/>
              </w:rPr>
              <w:footnoteReference w:id="9"/>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4" w:hRule="atLeast"/>
          <w:jc w:val="center"/>
        </w:trPr>
        <w:tc>
          <w:tcPr>
            <w:tcW w:w="2435" w:type="dxa"/>
            <w:vAlign w:val="center"/>
          </w:tcPr>
          <w:p>
            <w:pPr>
              <w:pStyle w:val="27"/>
              <w:spacing w:line="200" w:lineRule="exact"/>
              <w:jc w:val="center"/>
              <w:rPr>
                <w:rFonts w:ascii="仿宋" w:hAnsi="仿宋" w:eastAsia="仿宋"/>
              </w:rPr>
            </w:pPr>
            <w:r>
              <w:rPr>
                <w:rFonts w:hint="eastAsia" w:ascii="仿宋" w:hAnsi="仿宋" w:eastAsia="仿宋"/>
              </w:rPr>
              <w:t>公交车保有量</w:t>
            </w:r>
          </w:p>
        </w:tc>
        <w:tc>
          <w:tcPr>
            <w:tcW w:w="1219" w:type="dxa"/>
            <w:vAlign w:val="center"/>
          </w:tcPr>
          <w:p>
            <w:pPr>
              <w:pStyle w:val="27"/>
              <w:spacing w:line="200" w:lineRule="exact"/>
              <w:jc w:val="center"/>
              <w:rPr>
                <w:sz w:val="18"/>
              </w:rPr>
            </w:pPr>
            <w:r>
              <w:rPr>
                <w:rFonts w:hint="eastAsia"/>
              </w:rPr>
              <w:t>14341</w:t>
            </w:r>
          </w:p>
        </w:tc>
        <w:tc>
          <w:tcPr>
            <w:tcW w:w="1219" w:type="dxa"/>
            <w:vAlign w:val="center"/>
          </w:tcPr>
          <w:p>
            <w:pPr>
              <w:pStyle w:val="27"/>
              <w:spacing w:line="200" w:lineRule="exact"/>
              <w:jc w:val="center"/>
              <w:rPr>
                <w:sz w:val="18"/>
              </w:rPr>
            </w:pPr>
            <w:r>
              <w:rPr>
                <w:rFonts w:hint="eastAsia"/>
              </w:rPr>
              <w:t>14711</w:t>
            </w:r>
          </w:p>
        </w:tc>
        <w:tc>
          <w:tcPr>
            <w:tcW w:w="1219" w:type="dxa"/>
            <w:vAlign w:val="center"/>
          </w:tcPr>
          <w:p>
            <w:pPr>
              <w:pStyle w:val="27"/>
              <w:spacing w:line="200" w:lineRule="exact"/>
              <w:jc w:val="center"/>
              <w:rPr>
                <w:sz w:val="18"/>
              </w:rPr>
            </w:pPr>
            <w:r>
              <w:rPr>
                <w:rFonts w:hint="eastAsia"/>
              </w:rPr>
              <w:t>15944</w:t>
            </w:r>
          </w:p>
        </w:tc>
        <w:tc>
          <w:tcPr>
            <w:tcW w:w="1215" w:type="dxa"/>
            <w:vAlign w:val="center"/>
          </w:tcPr>
          <w:p>
            <w:pPr>
              <w:pStyle w:val="27"/>
              <w:spacing w:line="200" w:lineRule="exact"/>
              <w:jc w:val="center"/>
            </w:pPr>
            <w:r>
              <w:rPr>
                <w:rFonts w:hint="eastAsia"/>
              </w:rPr>
              <w:t>17342</w:t>
            </w:r>
          </w:p>
        </w:tc>
        <w:tc>
          <w:tcPr>
            <w:tcW w:w="1215" w:type="dxa"/>
            <w:vAlign w:val="center"/>
          </w:tcPr>
          <w:p>
            <w:pPr>
              <w:pStyle w:val="27"/>
              <w:spacing w:line="200" w:lineRule="exact"/>
              <w:jc w:val="center"/>
            </w:pPr>
            <w:r>
              <w:rPr>
                <w:rFonts w:hint="eastAsia"/>
              </w:rPr>
              <w:t>18000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4" w:hRule="atLeast"/>
          <w:jc w:val="center"/>
        </w:trPr>
        <w:tc>
          <w:tcPr>
            <w:tcW w:w="2435" w:type="dxa"/>
            <w:vAlign w:val="center"/>
          </w:tcPr>
          <w:p>
            <w:pPr>
              <w:pStyle w:val="27"/>
              <w:spacing w:line="200" w:lineRule="exact"/>
              <w:jc w:val="center"/>
              <w:rPr>
                <w:rFonts w:ascii="仿宋" w:hAnsi="仿宋" w:eastAsia="仿宋"/>
              </w:rPr>
            </w:pPr>
            <w:r>
              <w:rPr>
                <w:rFonts w:hint="eastAsia" w:ascii="仿宋" w:hAnsi="仿宋" w:eastAsia="仿宋"/>
              </w:rPr>
              <w:t>出租车保有量</w:t>
            </w:r>
          </w:p>
        </w:tc>
        <w:tc>
          <w:tcPr>
            <w:tcW w:w="1219" w:type="dxa"/>
            <w:vAlign w:val="center"/>
          </w:tcPr>
          <w:p>
            <w:pPr>
              <w:pStyle w:val="27"/>
              <w:spacing w:line="200" w:lineRule="exact"/>
              <w:jc w:val="center"/>
            </w:pPr>
            <w:r>
              <w:rPr>
                <w:rFonts w:hint="eastAsia"/>
              </w:rPr>
              <w:t>36232</w:t>
            </w:r>
          </w:p>
        </w:tc>
        <w:tc>
          <w:tcPr>
            <w:tcW w:w="1219" w:type="dxa"/>
            <w:vAlign w:val="center"/>
          </w:tcPr>
          <w:p>
            <w:pPr>
              <w:pStyle w:val="27"/>
              <w:spacing w:line="200" w:lineRule="exact"/>
              <w:jc w:val="center"/>
            </w:pPr>
            <w:r>
              <w:rPr>
                <w:rFonts w:hint="eastAsia"/>
              </w:rPr>
              <w:t>35960</w:t>
            </w:r>
          </w:p>
        </w:tc>
        <w:tc>
          <w:tcPr>
            <w:tcW w:w="1219" w:type="dxa"/>
            <w:vAlign w:val="center"/>
          </w:tcPr>
          <w:p>
            <w:pPr>
              <w:pStyle w:val="27"/>
              <w:spacing w:line="200" w:lineRule="exact"/>
              <w:jc w:val="center"/>
            </w:pPr>
            <w:r>
              <w:rPr>
                <w:rFonts w:hint="eastAsia"/>
              </w:rPr>
              <w:t>35720</w:t>
            </w:r>
          </w:p>
        </w:tc>
        <w:tc>
          <w:tcPr>
            <w:tcW w:w="1215" w:type="dxa"/>
            <w:vAlign w:val="center"/>
          </w:tcPr>
          <w:p>
            <w:pPr>
              <w:pStyle w:val="27"/>
              <w:spacing w:line="200" w:lineRule="exact"/>
              <w:jc w:val="center"/>
            </w:pPr>
            <w:r>
              <w:rPr>
                <w:rFonts w:hint="eastAsia"/>
              </w:rPr>
              <w:t>38320</w:t>
            </w:r>
          </w:p>
        </w:tc>
        <w:tc>
          <w:tcPr>
            <w:tcW w:w="1215" w:type="dxa"/>
            <w:vAlign w:val="center"/>
          </w:tcPr>
          <w:p>
            <w:pPr>
              <w:pStyle w:val="27"/>
              <w:spacing w:line="200" w:lineRule="exact"/>
              <w:jc w:val="center"/>
            </w:pPr>
            <w:r>
              <w:rPr>
                <w:rFonts w:hint="eastAsia"/>
              </w:rPr>
              <w:t>40000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4" w:hRule="atLeast"/>
          <w:jc w:val="center"/>
        </w:trPr>
        <w:tc>
          <w:tcPr>
            <w:tcW w:w="2435" w:type="dxa"/>
            <w:vAlign w:val="center"/>
          </w:tcPr>
          <w:p>
            <w:pPr>
              <w:pStyle w:val="27"/>
              <w:spacing w:line="200" w:lineRule="exact"/>
              <w:jc w:val="center"/>
              <w:rPr>
                <w:rFonts w:ascii="仿宋" w:hAnsi="仿宋" w:eastAsia="仿宋"/>
              </w:rPr>
            </w:pPr>
            <w:r>
              <w:rPr>
                <w:rFonts w:hint="eastAsia" w:ascii="仿宋" w:hAnsi="仿宋" w:eastAsia="仿宋"/>
              </w:rPr>
              <w:t>客运班车</w:t>
            </w:r>
          </w:p>
        </w:tc>
        <w:tc>
          <w:tcPr>
            <w:tcW w:w="1219" w:type="dxa"/>
            <w:vAlign w:val="center"/>
          </w:tcPr>
          <w:p>
            <w:pPr>
              <w:pStyle w:val="27"/>
              <w:spacing w:line="200" w:lineRule="exact"/>
              <w:jc w:val="center"/>
            </w:pPr>
            <w:r>
              <w:rPr>
                <w:rFonts w:hint="eastAsia"/>
              </w:rPr>
              <w:t>16645</w:t>
            </w:r>
          </w:p>
        </w:tc>
        <w:tc>
          <w:tcPr>
            <w:tcW w:w="1219" w:type="dxa"/>
            <w:vAlign w:val="center"/>
          </w:tcPr>
          <w:p>
            <w:pPr>
              <w:pStyle w:val="27"/>
              <w:spacing w:line="200" w:lineRule="exact"/>
              <w:jc w:val="center"/>
            </w:pPr>
            <w:r>
              <w:rPr>
                <w:rFonts w:hint="eastAsia"/>
              </w:rPr>
              <w:t>15723</w:t>
            </w:r>
          </w:p>
        </w:tc>
        <w:tc>
          <w:tcPr>
            <w:tcW w:w="1219" w:type="dxa"/>
            <w:vAlign w:val="center"/>
          </w:tcPr>
          <w:p>
            <w:pPr>
              <w:pStyle w:val="27"/>
              <w:spacing w:line="200" w:lineRule="exact"/>
              <w:jc w:val="center"/>
            </w:pPr>
            <w:r>
              <w:rPr>
                <w:rFonts w:hint="eastAsia"/>
              </w:rPr>
              <w:t>14553</w:t>
            </w:r>
          </w:p>
        </w:tc>
        <w:tc>
          <w:tcPr>
            <w:tcW w:w="1215" w:type="dxa"/>
            <w:vAlign w:val="center"/>
          </w:tcPr>
          <w:p>
            <w:pPr>
              <w:pStyle w:val="27"/>
              <w:spacing w:line="200" w:lineRule="exact"/>
              <w:jc w:val="center"/>
            </w:pPr>
            <w:r>
              <w:rPr>
                <w:rFonts w:hint="eastAsia"/>
              </w:rPr>
              <w:t>16156</w:t>
            </w:r>
          </w:p>
        </w:tc>
        <w:tc>
          <w:tcPr>
            <w:tcW w:w="1215" w:type="dxa"/>
            <w:vAlign w:val="center"/>
          </w:tcPr>
          <w:p>
            <w:pPr>
              <w:pStyle w:val="27"/>
              <w:spacing w:line="200" w:lineRule="exact"/>
              <w:jc w:val="center"/>
            </w:pPr>
            <w:r>
              <w:rPr>
                <w:rFonts w:hint="eastAsia"/>
              </w:rPr>
              <w:t>17000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4" w:hRule="atLeast"/>
          <w:jc w:val="center"/>
        </w:trPr>
        <w:tc>
          <w:tcPr>
            <w:tcW w:w="2435" w:type="dxa"/>
            <w:vAlign w:val="center"/>
          </w:tcPr>
          <w:p>
            <w:pPr>
              <w:pStyle w:val="27"/>
              <w:spacing w:line="200" w:lineRule="exact"/>
              <w:jc w:val="center"/>
              <w:rPr>
                <w:rFonts w:ascii="仿宋" w:hAnsi="仿宋" w:eastAsia="仿宋"/>
              </w:rPr>
            </w:pPr>
            <w:r>
              <w:rPr>
                <w:rFonts w:hint="eastAsia" w:ascii="仿宋" w:hAnsi="仿宋" w:eastAsia="仿宋"/>
              </w:rPr>
              <w:t>旅游客车</w:t>
            </w:r>
          </w:p>
        </w:tc>
        <w:tc>
          <w:tcPr>
            <w:tcW w:w="1219" w:type="dxa"/>
            <w:vAlign w:val="center"/>
          </w:tcPr>
          <w:p>
            <w:pPr>
              <w:pStyle w:val="27"/>
              <w:spacing w:line="200" w:lineRule="exact"/>
              <w:jc w:val="center"/>
            </w:pPr>
            <w:r>
              <w:rPr>
                <w:rFonts w:hint="eastAsia"/>
              </w:rPr>
              <w:t>2497</w:t>
            </w:r>
          </w:p>
        </w:tc>
        <w:tc>
          <w:tcPr>
            <w:tcW w:w="1219" w:type="dxa"/>
            <w:vAlign w:val="center"/>
          </w:tcPr>
          <w:p>
            <w:pPr>
              <w:pStyle w:val="27"/>
              <w:spacing w:line="200" w:lineRule="exact"/>
              <w:jc w:val="center"/>
            </w:pPr>
            <w:r>
              <w:rPr>
                <w:rFonts w:hint="eastAsia"/>
              </w:rPr>
              <w:t>2888</w:t>
            </w:r>
          </w:p>
        </w:tc>
        <w:tc>
          <w:tcPr>
            <w:tcW w:w="1219" w:type="dxa"/>
            <w:vAlign w:val="center"/>
          </w:tcPr>
          <w:p>
            <w:pPr>
              <w:pStyle w:val="27"/>
              <w:spacing w:line="200" w:lineRule="exact"/>
              <w:jc w:val="center"/>
            </w:pPr>
            <w:r>
              <w:rPr>
                <w:rFonts w:hint="eastAsia"/>
              </w:rPr>
              <w:t>3654</w:t>
            </w:r>
          </w:p>
        </w:tc>
        <w:tc>
          <w:tcPr>
            <w:tcW w:w="1215" w:type="dxa"/>
            <w:vAlign w:val="center"/>
          </w:tcPr>
          <w:p>
            <w:pPr>
              <w:pStyle w:val="27"/>
              <w:spacing w:line="200" w:lineRule="exact"/>
              <w:jc w:val="center"/>
            </w:pPr>
            <w:r>
              <w:rPr>
                <w:rFonts w:hint="eastAsia"/>
              </w:rPr>
              <w:t>5095</w:t>
            </w:r>
          </w:p>
        </w:tc>
        <w:tc>
          <w:tcPr>
            <w:tcW w:w="1215" w:type="dxa"/>
            <w:vAlign w:val="center"/>
          </w:tcPr>
          <w:p>
            <w:pPr>
              <w:pStyle w:val="27"/>
              <w:spacing w:line="200" w:lineRule="exact"/>
              <w:jc w:val="center"/>
            </w:pPr>
            <w:r>
              <w:rPr>
                <w:rFonts w:hint="eastAsia"/>
              </w:rPr>
              <w:t>5500</w:t>
            </w:r>
          </w:p>
        </w:tc>
      </w:tr>
    </w:tbl>
    <w:p>
      <w:pPr>
        <w:pStyle w:val="26"/>
        <w:spacing w:line="240" w:lineRule="auto"/>
        <w:ind w:firstLine="0"/>
        <w:rPr>
          <w:bCs/>
          <w:sz w:val="22"/>
          <w:szCs w:val="22"/>
        </w:rPr>
      </w:pPr>
    </w:p>
    <w:p>
      <w:pPr>
        <w:pStyle w:val="26"/>
        <w:spacing w:line="240" w:lineRule="auto"/>
        <w:ind w:firstLine="0"/>
        <w:rPr>
          <w:bCs/>
          <w:sz w:val="22"/>
          <w:szCs w:val="22"/>
        </w:rPr>
      </w:pPr>
    </w:p>
    <w:p>
      <w:pPr>
        <w:pStyle w:val="26"/>
        <w:spacing w:line="240" w:lineRule="auto"/>
        <w:ind w:firstLine="0"/>
        <w:rPr>
          <w:bCs/>
          <w:sz w:val="22"/>
          <w:szCs w:val="22"/>
        </w:rPr>
      </w:pPr>
      <w:r>
        <w:drawing>
          <wp:inline distT="0" distB="0" distL="114300" distR="114300">
            <wp:extent cx="5340985" cy="2303780"/>
            <wp:effectExtent l="4445" t="4445" r="13970" b="15875"/>
            <wp:docPr id="3"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pPr>
        <w:adjustRightInd w:val="0"/>
        <w:snapToGrid w:val="0"/>
        <w:spacing w:afterLines="50"/>
        <w:ind w:firstLine="482" w:firstLineChars="200"/>
        <w:jc w:val="center"/>
        <w:rPr>
          <w:rFonts w:ascii="Times New Roman" w:hAnsi="Times New Roman" w:eastAsia="仿宋_GB2312" w:cs="Times New Roman"/>
          <w:b/>
          <w:bCs/>
          <w:sz w:val="24"/>
        </w:rPr>
      </w:pPr>
      <w:r>
        <w:rPr>
          <w:rFonts w:hint="eastAsia" w:ascii="Times New Roman" w:hAnsi="Times New Roman" w:eastAsia="仿宋_GB2312" w:cs="Times New Roman"/>
          <w:b/>
          <w:bCs/>
          <w:sz w:val="24"/>
        </w:rPr>
        <w:t xml:space="preserve">图15  </w:t>
      </w:r>
      <w:r>
        <w:rPr>
          <w:rFonts w:ascii="Times New Roman" w:hAnsi="Times New Roman" w:eastAsia="仿宋_GB2312" w:cs="Times New Roman"/>
          <w:b/>
          <w:bCs/>
          <w:sz w:val="24"/>
        </w:rPr>
        <w:t>2016-20</w:t>
      </w:r>
      <w:r>
        <w:rPr>
          <w:rFonts w:hint="eastAsia" w:ascii="Times New Roman" w:hAnsi="Times New Roman" w:eastAsia="仿宋_GB2312" w:cs="Times New Roman"/>
          <w:b/>
          <w:bCs/>
          <w:sz w:val="24"/>
        </w:rPr>
        <w:t>19</w:t>
      </w:r>
      <w:r>
        <w:rPr>
          <w:rFonts w:ascii="Times New Roman" w:hAnsi="Times New Roman" w:eastAsia="仿宋_GB2312" w:cs="Times New Roman"/>
          <w:b/>
          <w:bCs/>
          <w:sz w:val="24"/>
        </w:rPr>
        <w:t>年</w:t>
      </w:r>
      <w:r>
        <w:rPr>
          <w:rFonts w:hint="eastAsia" w:ascii="Times New Roman" w:hAnsi="Times New Roman" w:eastAsia="仿宋_GB2312" w:cs="Times New Roman"/>
          <w:b/>
          <w:bCs/>
          <w:sz w:val="24"/>
        </w:rPr>
        <w:t>全省多类车型保有量</w:t>
      </w:r>
    </w:p>
    <w:p>
      <w:pPr>
        <w:pStyle w:val="2"/>
      </w:pPr>
    </w:p>
    <w:p>
      <w:pPr>
        <w:pStyle w:val="2"/>
      </w:pPr>
    </w:p>
    <w:p>
      <w:pPr>
        <w:pStyle w:val="2"/>
      </w:pPr>
    </w:p>
    <w:p>
      <w:pPr>
        <w:pStyle w:val="26"/>
        <w:spacing w:beforeLines="50" w:line="240" w:lineRule="auto"/>
        <w:ind w:firstLine="0"/>
        <w:rPr>
          <w:bCs/>
          <w:sz w:val="22"/>
          <w:szCs w:val="22"/>
        </w:rPr>
      </w:pPr>
      <w:r>
        <w:rPr>
          <w:rFonts w:hint="eastAsia" w:eastAsia="仿宋_GB2312"/>
          <w:bCs/>
          <w:sz w:val="24"/>
          <w:szCs w:val="24"/>
        </w:rPr>
        <w:t>表14  陕西省部分领域新能源汽车应用情况</w:t>
      </w:r>
      <w:r>
        <w:rPr>
          <w:rStyle w:val="24"/>
          <w:bCs/>
          <w:sz w:val="22"/>
          <w:szCs w:val="22"/>
        </w:rPr>
        <w:footnoteReference w:id="10"/>
      </w:r>
    </w:p>
    <w:tbl>
      <w:tblPr>
        <w:tblStyle w:val="17"/>
        <w:tblW w:w="8522" w:type="dxa"/>
        <w:jc w:val="center"/>
        <w:tblLayout w:type="fixed"/>
        <w:tblCellMar>
          <w:top w:w="0" w:type="dxa"/>
          <w:left w:w="108" w:type="dxa"/>
          <w:bottom w:w="0" w:type="dxa"/>
          <w:right w:w="108" w:type="dxa"/>
        </w:tblCellMar>
      </w:tblPr>
      <w:tblGrid>
        <w:gridCol w:w="2487"/>
        <w:gridCol w:w="2664"/>
        <w:gridCol w:w="3371"/>
      </w:tblGrid>
      <w:tr>
        <w:tblPrEx>
          <w:tblCellMar>
            <w:top w:w="0" w:type="dxa"/>
            <w:left w:w="108" w:type="dxa"/>
            <w:bottom w:w="0" w:type="dxa"/>
            <w:right w:w="108" w:type="dxa"/>
          </w:tblCellMar>
        </w:tblPrEx>
        <w:trPr>
          <w:jc w:val="center"/>
        </w:trPr>
        <w:tc>
          <w:tcPr>
            <w:tcW w:w="2487" w:type="dxa"/>
            <w:tcBorders>
              <w:top w:val="single" w:color="000000" w:sz="4" w:space="0"/>
              <w:left w:val="single" w:color="000000" w:sz="4" w:space="0"/>
              <w:bottom w:val="single" w:color="000000" w:sz="4" w:space="0"/>
              <w:right w:val="single" w:color="000000" w:sz="4" w:space="0"/>
            </w:tcBorders>
            <w:vAlign w:val="center"/>
          </w:tcPr>
          <w:p>
            <w:pPr>
              <w:pStyle w:val="27"/>
              <w:jc w:val="center"/>
            </w:pPr>
          </w:p>
        </w:tc>
        <w:tc>
          <w:tcPr>
            <w:tcW w:w="266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7"/>
              <w:jc w:val="center"/>
              <w:rPr>
                <w:rFonts w:ascii="仿宋" w:hAnsi="仿宋" w:eastAsia="仿宋"/>
              </w:rPr>
            </w:pPr>
            <w:r>
              <w:rPr>
                <w:rFonts w:hint="eastAsia" w:ascii="仿宋" w:hAnsi="仿宋" w:eastAsia="仿宋"/>
              </w:rPr>
              <w:t>截</w:t>
            </w:r>
            <w:r>
              <w:rPr>
                <w:rFonts w:hint="eastAsia" w:ascii="仿宋" w:hAnsi="仿宋" w:eastAsia="仿宋"/>
                <w:lang w:eastAsia="zh-CN"/>
              </w:rPr>
              <w:t>至</w:t>
            </w:r>
            <w:r>
              <w:t>2019</w:t>
            </w:r>
            <w:r>
              <w:rPr>
                <w:rFonts w:hint="eastAsia" w:ascii="仿宋" w:hAnsi="仿宋" w:eastAsia="仿宋"/>
              </w:rPr>
              <w:t>年底</w:t>
            </w:r>
          </w:p>
        </w:tc>
        <w:tc>
          <w:tcPr>
            <w:tcW w:w="337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27"/>
              <w:jc w:val="center"/>
              <w:rPr>
                <w:rFonts w:ascii="仿宋" w:hAnsi="仿宋" w:eastAsia="仿宋"/>
              </w:rPr>
            </w:pPr>
            <w:r>
              <w:rPr>
                <w:rFonts w:hint="eastAsia" w:ascii="仿宋" w:hAnsi="仿宋" w:eastAsia="仿宋"/>
              </w:rPr>
              <w:t>截</w:t>
            </w:r>
            <w:r>
              <w:rPr>
                <w:rFonts w:hint="eastAsia" w:ascii="仿宋" w:hAnsi="仿宋" w:eastAsia="仿宋"/>
                <w:lang w:eastAsia="zh-CN"/>
              </w:rPr>
              <w:t>至</w:t>
            </w:r>
            <w:r>
              <w:t>2020</w:t>
            </w:r>
            <w:r>
              <w:rPr>
                <w:rFonts w:hint="eastAsia" w:ascii="仿宋" w:hAnsi="仿宋" w:eastAsia="仿宋"/>
              </w:rPr>
              <w:t>年底</w:t>
            </w:r>
          </w:p>
        </w:tc>
      </w:tr>
      <w:tr>
        <w:tblPrEx>
          <w:tblCellMar>
            <w:top w:w="0" w:type="dxa"/>
            <w:left w:w="108" w:type="dxa"/>
            <w:bottom w:w="0" w:type="dxa"/>
            <w:right w:w="108" w:type="dxa"/>
          </w:tblCellMar>
        </w:tblPrEx>
        <w:trPr>
          <w:jc w:val="center"/>
        </w:trPr>
        <w:tc>
          <w:tcPr>
            <w:tcW w:w="248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7"/>
              <w:jc w:val="center"/>
              <w:rPr>
                <w:rFonts w:ascii="仿宋" w:hAnsi="仿宋" w:eastAsia="仿宋"/>
              </w:rPr>
            </w:pPr>
            <w:r>
              <w:rPr>
                <w:rFonts w:hint="eastAsia" w:ascii="仿宋" w:hAnsi="仿宋" w:eastAsia="仿宋"/>
              </w:rPr>
              <w:t>公交</w:t>
            </w:r>
          </w:p>
        </w:tc>
        <w:tc>
          <w:tcPr>
            <w:tcW w:w="266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7"/>
              <w:jc w:val="center"/>
            </w:pPr>
            <w:r>
              <w:t>5721</w:t>
            </w:r>
          </w:p>
        </w:tc>
        <w:tc>
          <w:tcPr>
            <w:tcW w:w="337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27"/>
              <w:jc w:val="center"/>
            </w:pPr>
            <w:r>
              <w:rPr>
                <w:rFonts w:hint="eastAsia"/>
              </w:rPr>
              <w:t>9700</w:t>
            </w:r>
          </w:p>
        </w:tc>
      </w:tr>
      <w:tr>
        <w:tblPrEx>
          <w:tblCellMar>
            <w:top w:w="0" w:type="dxa"/>
            <w:left w:w="108" w:type="dxa"/>
            <w:bottom w:w="0" w:type="dxa"/>
            <w:right w:w="108" w:type="dxa"/>
          </w:tblCellMar>
        </w:tblPrEx>
        <w:trPr>
          <w:jc w:val="center"/>
        </w:trPr>
        <w:tc>
          <w:tcPr>
            <w:tcW w:w="248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7"/>
              <w:jc w:val="center"/>
              <w:rPr>
                <w:rFonts w:ascii="仿宋" w:hAnsi="仿宋" w:eastAsia="仿宋"/>
              </w:rPr>
            </w:pPr>
            <w:r>
              <w:rPr>
                <w:rFonts w:hint="eastAsia" w:ascii="仿宋" w:hAnsi="仿宋" w:eastAsia="仿宋"/>
              </w:rPr>
              <w:t>环卫</w:t>
            </w:r>
          </w:p>
        </w:tc>
        <w:tc>
          <w:tcPr>
            <w:tcW w:w="266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7"/>
              <w:jc w:val="center"/>
            </w:pPr>
            <w:r>
              <w:t>355</w:t>
            </w:r>
          </w:p>
        </w:tc>
        <w:tc>
          <w:tcPr>
            <w:tcW w:w="337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27"/>
              <w:jc w:val="center"/>
            </w:pPr>
            <w:r>
              <w:t>541</w:t>
            </w:r>
          </w:p>
        </w:tc>
      </w:tr>
      <w:tr>
        <w:tblPrEx>
          <w:tblCellMar>
            <w:top w:w="0" w:type="dxa"/>
            <w:left w:w="108" w:type="dxa"/>
            <w:bottom w:w="0" w:type="dxa"/>
            <w:right w:w="108" w:type="dxa"/>
          </w:tblCellMar>
        </w:tblPrEx>
        <w:trPr>
          <w:jc w:val="center"/>
        </w:trPr>
        <w:tc>
          <w:tcPr>
            <w:tcW w:w="248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7"/>
              <w:jc w:val="center"/>
              <w:rPr>
                <w:rFonts w:ascii="仿宋" w:hAnsi="仿宋" w:eastAsia="仿宋"/>
              </w:rPr>
            </w:pPr>
            <w:r>
              <w:rPr>
                <w:rFonts w:hint="eastAsia" w:ascii="仿宋" w:hAnsi="仿宋" w:eastAsia="仿宋"/>
              </w:rPr>
              <w:t>邮政</w:t>
            </w:r>
          </w:p>
        </w:tc>
        <w:tc>
          <w:tcPr>
            <w:tcW w:w="266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7"/>
              <w:jc w:val="center"/>
            </w:pPr>
            <w:r>
              <w:t>656</w:t>
            </w:r>
          </w:p>
        </w:tc>
        <w:tc>
          <w:tcPr>
            <w:tcW w:w="337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27"/>
              <w:jc w:val="center"/>
            </w:pPr>
            <w:r>
              <w:t>744</w:t>
            </w:r>
          </w:p>
        </w:tc>
      </w:tr>
      <w:tr>
        <w:tblPrEx>
          <w:tblCellMar>
            <w:top w:w="0" w:type="dxa"/>
            <w:left w:w="108" w:type="dxa"/>
            <w:bottom w:w="0" w:type="dxa"/>
            <w:right w:w="108" w:type="dxa"/>
          </w:tblCellMar>
        </w:tblPrEx>
        <w:trPr>
          <w:jc w:val="center"/>
        </w:trPr>
        <w:tc>
          <w:tcPr>
            <w:tcW w:w="248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7"/>
              <w:jc w:val="center"/>
              <w:rPr>
                <w:rFonts w:ascii="仿宋" w:hAnsi="仿宋" w:eastAsia="仿宋"/>
              </w:rPr>
            </w:pPr>
            <w:r>
              <w:rPr>
                <w:rFonts w:hint="eastAsia" w:ascii="仿宋" w:hAnsi="仿宋" w:eastAsia="仿宋"/>
              </w:rPr>
              <w:t>出租</w:t>
            </w:r>
          </w:p>
        </w:tc>
        <w:tc>
          <w:tcPr>
            <w:tcW w:w="266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7"/>
              <w:jc w:val="center"/>
            </w:pPr>
            <w:r>
              <w:t>16267</w:t>
            </w:r>
          </w:p>
        </w:tc>
        <w:tc>
          <w:tcPr>
            <w:tcW w:w="337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27"/>
              <w:jc w:val="center"/>
            </w:pPr>
            <w:r>
              <w:t>19763</w:t>
            </w:r>
          </w:p>
        </w:tc>
      </w:tr>
      <w:tr>
        <w:tblPrEx>
          <w:tblCellMar>
            <w:top w:w="0" w:type="dxa"/>
            <w:left w:w="108" w:type="dxa"/>
            <w:bottom w:w="0" w:type="dxa"/>
            <w:right w:w="108" w:type="dxa"/>
          </w:tblCellMar>
        </w:tblPrEx>
        <w:trPr>
          <w:jc w:val="center"/>
        </w:trPr>
        <w:tc>
          <w:tcPr>
            <w:tcW w:w="248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7"/>
              <w:jc w:val="center"/>
              <w:rPr>
                <w:rFonts w:ascii="仿宋" w:hAnsi="仿宋" w:eastAsia="仿宋"/>
              </w:rPr>
            </w:pPr>
            <w:r>
              <w:rPr>
                <w:rFonts w:hint="eastAsia" w:ascii="仿宋" w:hAnsi="仿宋" w:eastAsia="仿宋"/>
              </w:rPr>
              <w:t>通勤</w:t>
            </w:r>
          </w:p>
        </w:tc>
        <w:tc>
          <w:tcPr>
            <w:tcW w:w="266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7"/>
              <w:jc w:val="center"/>
            </w:pPr>
            <w:r>
              <w:t>99</w:t>
            </w:r>
          </w:p>
        </w:tc>
        <w:tc>
          <w:tcPr>
            <w:tcW w:w="337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27"/>
              <w:jc w:val="center"/>
            </w:pPr>
            <w:r>
              <w:t>146</w:t>
            </w:r>
          </w:p>
        </w:tc>
      </w:tr>
      <w:tr>
        <w:tblPrEx>
          <w:tblCellMar>
            <w:top w:w="0" w:type="dxa"/>
            <w:left w:w="108" w:type="dxa"/>
            <w:bottom w:w="0" w:type="dxa"/>
            <w:right w:w="108" w:type="dxa"/>
          </w:tblCellMar>
        </w:tblPrEx>
        <w:trPr>
          <w:jc w:val="center"/>
        </w:trPr>
        <w:tc>
          <w:tcPr>
            <w:tcW w:w="248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7"/>
              <w:jc w:val="center"/>
              <w:rPr>
                <w:rFonts w:ascii="仿宋" w:hAnsi="仿宋" w:eastAsia="仿宋"/>
              </w:rPr>
            </w:pPr>
            <w:r>
              <w:rPr>
                <w:rFonts w:hint="eastAsia" w:ascii="仿宋" w:hAnsi="仿宋" w:eastAsia="仿宋"/>
              </w:rPr>
              <w:t>轻型物流配送</w:t>
            </w:r>
          </w:p>
        </w:tc>
        <w:tc>
          <w:tcPr>
            <w:tcW w:w="266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7"/>
              <w:jc w:val="center"/>
            </w:pPr>
            <w:r>
              <w:t>2308</w:t>
            </w:r>
          </w:p>
        </w:tc>
        <w:tc>
          <w:tcPr>
            <w:tcW w:w="337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27"/>
              <w:jc w:val="center"/>
            </w:pPr>
            <w:r>
              <w:t>20336</w:t>
            </w:r>
          </w:p>
        </w:tc>
      </w:tr>
    </w:tbl>
    <w:p>
      <w:pPr>
        <w:pStyle w:val="26"/>
        <w:spacing w:afterLines="50" w:line="240" w:lineRule="auto"/>
        <w:ind w:firstLine="0"/>
        <w:rPr>
          <w:bCs/>
          <w:sz w:val="22"/>
          <w:szCs w:val="22"/>
        </w:rPr>
      </w:pPr>
      <w:r>
        <w:rPr>
          <w:sz w:val="22"/>
        </w:rPr>
        <w:pict>
          <v:rect id="_x0000_s5122" o:spid="_x0000_s5122" o:spt="1" style="position:absolute;left:0pt;margin-left:294.7pt;margin-top:139.45pt;height:15.8pt;width:23.55pt;z-index:251659264;mso-width-relative:page;mso-height-relative:page;" stroked="t" coordsize="21600,21600">
            <v:path/>
            <v:fill focussize="0,0"/>
            <v:stroke color="#FFFFFF"/>
            <v:imagedata o:title=""/>
            <o:lock v:ext="edit"/>
          </v:rect>
        </w:pict>
      </w:r>
      <w:r>
        <w:rPr>
          <w:rFonts w:hint="eastAsia"/>
          <w:bCs/>
          <w:sz w:val="22"/>
          <w:szCs w:val="22"/>
        </w:rPr>
        <w:drawing>
          <wp:inline distT="0" distB="0" distL="0" distR="0">
            <wp:extent cx="5231765" cy="2011680"/>
            <wp:effectExtent l="0" t="0" r="0" b="0"/>
            <wp:docPr id="50" name="图表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Pr>
          <w:rFonts w:hint="eastAsia" w:eastAsia="仿宋_GB2312"/>
          <w:bCs/>
          <w:sz w:val="24"/>
          <w:szCs w:val="24"/>
        </w:rPr>
        <w:t>图16  陕西省部分领域新能源汽车应用情况</w:t>
      </w:r>
    </w:p>
    <w:p>
      <w:pPr>
        <w:pStyle w:val="2"/>
        <w:spacing w:line="580" w:lineRule="exact"/>
        <w:ind w:firstLine="0" w:firstLineChars="0"/>
        <w:jc w:val="center"/>
        <w:rPr>
          <w:rFonts w:asciiTheme="minorEastAsia" w:hAnsiTheme="minorEastAsia" w:eastAsiaTheme="minorEastAsia"/>
          <w:b/>
          <w:sz w:val="22"/>
          <w:szCs w:val="48"/>
        </w:rPr>
      </w:pPr>
      <w:r>
        <w:rPr>
          <w:rFonts w:eastAsia="仿宋_GB2312"/>
          <w:b/>
          <w:bCs/>
          <w:sz w:val="24"/>
        </w:rPr>
        <w:t>表1</w:t>
      </w:r>
      <w:r>
        <w:rPr>
          <w:rFonts w:hint="eastAsia" w:eastAsia="仿宋_GB2312"/>
          <w:b/>
          <w:bCs/>
          <w:sz w:val="24"/>
        </w:rPr>
        <w:t>5  省内电动汽车渗透率现状</w:t>
      </w:r>
      <w:r>
        <w:rPr>
          <w:rStyle w:val="24"/>
          <w:rFonts w:eastAsiaTheme="minorEastAsia"/>
          <w:b/>
          <w:sz w:val="22"/>
          <w:szCs w:val="48"/>
        </w:rPr>
        <w:footnoteReference w:id="11"/>
      </w:r>
    </w:p>
    <w:tbl>
      <w:tblPr>
        <w:tblStyle w:val="18"/>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31"/>
        <w:gridCol w:w="648"/>
        <w:gridCol w:w="859"/>
        <w:gridCol w:w="859"/>
        <w:gridCol w:w="859"/>
        <w:gridCol w:w="859"/>
        <w:gridCol w:w="859"/>
        <w:gridCol w:w="6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31" w:type="dxa"/>
            <w:vAlign w:val="center"/>
          </w:tcPr>
          <w:p>
            <w:pPr>
              <w:pStyle w:val="2"/>
              <w:spacing w:line="300" w:lineRule="exact"/>
              <w:ind w:firstLine="0" w:firstLineChars="0"/>
              <w:jc w:val="center"/>
              <w:rPr>
                <w:rFonts w:eastAsia="仿宋"/>
                <w:sz w:val="20"/>
                <w:szCs w:val="48"/>
              </w:rPr>
            </w:pPr>
            <w:r>
              <w:rPr>
                <w:rFonts w:hint="eastAsia" w:eastAsia="仿宋"/>
                <w:sz w:val="20"/>
                <w:szCs w:val="48"/>
              </w:rPr>
              <w:t>车辆类型</w:t>
            </w:r>
          </w:p>
        </w:tc>
        <w:tc>
          <w:tcPr>
            <w:tcW w:w="648" w:type="dxa"/>
            <w:vAlign w:val="center"/>
          </w:tcPr>
          <w:p>
            <w:pPr>
              <w:pStyle w:val="2"/>
              <w:spacing w:line="300" w:lineRule="exact"/>
              <w:ind w:firstLine="0" w:firstLineChars="0"/>
              <w:jc w:val="center"/>
              <w:rPr>
                <w:rFonts w:eastAsia="仿宋"/>
                <w:sz w:val="20"/>
                <w:szCs w:val="48"/>
              </w:rPr>
            </w:pPr>
            <w:r>
              <w:rPr>
                <w:rFonts w:hint="eastAsia" w:eastAsia="仿宋"/>
                <w:sz w:val="20"/>
                <w:szCs w:val="48"/>
              </w:rPr>
              <w:t>合计</w:t>
            </w:r>
          </w:p>
        </w:tc>
        <w:tc>
          <w:tcPr>
            <w:tcW w:w="859" w:type="dxa"/>
            <w:vAlign w:val="center"/>
          </w:tcPr>
          <w:p>
            <w:pPr>
              <w:pStyle w:val="2"/>
              <w:spacing w:line="300" w:lineRule="exact"/>
              <w:ind w:firstLine="0" w:firstLineChars="0"/>
              <w:jc w:val="center"/>
              <w:rPr>
                <w:rFonts w:eastAsia="仿宋"/>
                <w:sz w:val="20"/>
                <w:szCs w:val="48"/>
              </w:rPr>
            </w:pPr>
            <w:r>
              <w:rPr>
                <w:rFonts w:hint="eastAsia" w:eastAsia="仿宋"/>
                <w:sz w:val="20"/>
                <w:szCs w:val="48"/>
              </w:rPr>
              <w:t>公交车</w:t>
            </w:r>
          </w:p>
        </w:tc>
        <w:tc>
          <w:tcPr>
            <w:tcW w:w="859" w:type="dxa"/>
            <w:vAlign w:val="center"/>
          </w:tcPr>
          <w:p>
            <w:pPr>
              <w:pStyle w:val="2"/>
              <w:spacing w:line="300" w:lineRule="exact"/>
              <w:ind w:firstLine="0" w:firstLineChars="0"/>
              <w:jc w:val="center"/>
              <w:rPr>
                <w:rFonts w:eastAsia="仿宋"/>
                <w:sz w:val="20"/>
                <w:szCs w:val="48"/>
              </w:rPr>
            </w:pPr>
            <w:r>
              <w:rPr>
                <w:rFonts w:hint="eastAsia" w:eastAsia="仿宋"/>
                <w:sz w:val="20"/>
                <w:szCs w:val="48"/>
              </w:rPr>
              <w:t>巡游出租车</w:t>
            </w:r>
          </w:p>
        </w:tc>
        <w:tc>
          <w:tcPr>
            <w:tcW w:w="859" w:type="dxa"/>
            <w:vAlign w:val="center"/>
          </w:tcPr>
          <w:p>
            <w:pPr>
              <w:pStyle w:val="2"/>
              <w:spacing w:line="300" w:lineRule="exact"/>
              <w:ind w:firstLine="0" w:firstLineChars="0"/>
              <w:jc w:val="center"/>
              <w:rPr>
                <w:rFonts w:eastAsia="仿宋"/>
                <w:sz w:val="20"/>
                <w:szCs w:val="48"/>
              </w:rPr>
            </w:pPr>
            <w:r>
              <w:rPr>
                <w:rFonts w:hint="eastAsia" w:eastAsia="仿宋"/>
                <w:sz w:val="20"/>
                <w:szCs w:val="48"/>
              </w:rPr>
              <w:t>环卫车</w:t>
            </w:r>
          </w:p>
        </w:tc>
        <w:tc>
          <w:tcPr>
            <w:tcW w:w="859" w:type="dxa"/>
            <w:vAlign w:val="center"/>
          </w:tcPr>
          <w:p>
            <w:pPr>
              <w:pStyle w:val="2"/>
              <w:spacing w:line="300" w:lineRule="exact"/>
              <w:ind w:firstLine="0" w:firstLineChars="0"/>
              <w:jc w:val="center"/>
              <w:rPr>
                <w:rFonts w:eastAsia="仿宋"/>
                <w:sz w:val="20"/>
                <w:szCs w:val="48"/>
              </w:rPr>
            </w:pPr>
            <w:r>
              <w:rPr>
                <w:rFonts w:hint="eastAsia" w:eastAsia="仿宋"/>
                <w:sz w:val="20"/>
                <w:szCs w:val="48"/>
              </w:rPr>
              <w:t>网约出租车</w:t>
            </w:r>
          </w:p>
        </w:tc>
        <w:tc>
          <w:tcPr>
            <w:tcW w:w="859" w:type="dxa"/>
            <w:vAlign w:val="center"/>
          </w:tcPr>
          <w:p>
            <w:pPr>
              <w:pStyle w:val="2"/>
              <w:spacing w:line="300" w:lineRule="exact"/>
              <w:ind w:firstLine="0" w:firstLineChars="0"/>
              <w:jc w:val="center"/>
              <w:rPr>
                <w:rFonts w:eastAsia="仿宋"/>
                <w:sz w:val="20"/>
                <w:szCs w:val="48"/>
              </w:rPr>
            </w:pPr>
            <w:r>
              <w:rPr>
                <w:rFonts w:hint="eastAsia" w:eastAsia="仿宋"/>
                <w:sz w:val="20"/>
                <w:szCs w:val="48"/>
              </w:rPr>
              <w:t>私家车</w:t>
            </w:r>
          </w:p>
        </w:tc>
        <w:tc>
          <w:tcPr>
            <w:tcW w:w="648" w:type="dxa"/>
            <w:vAlign w:val="center"/>
          </w:tcPr>
          <w:p>
            <w:pPr>
              <w:pStyle w:val="2"/>
              <w:spacing w:line="300" w:lineRule="exact"/>
              <w:ind w:firstLine="0" w:firstLineChars="0"/>
              <w:jc w:val="center"/>
              <w:rPr>
                <w:rFonts w:eastAsia="仿宋"/>
                <w:sz w:val="20"/>
                <w:szCs w:val="48"/>
              </w:rPr>
            </w:pPr>
            <w:r>
              <w:rPr>
                <w:rFonts w:hint="eastAsia" w:eastAsia="仿宋"/>
                <w:sz w:val="20"/>
                <w:szCs w:val="48"/>
              </w:rPr>
              <w:t>客车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31" w:type="dxa"/>
            <w:vAlign w:val="center"/>
          </w:tcPr>
          <w:p>
            <w:pPr>
              <w:pStyle w:val="2"/>
              <w:spacing w:line="300" w:lineRule="exact"/>
              <w:ind w:firstLine="0" w:firstLineChars="0"/>
              <w:jc w:val="center"/>
              <w:rPr>
                <w:rFonts w:eastAsia="仿宋"/>
                <w:sz w:val="20"/>
                <w:szCs w:val="48"/>
              </w:rPr>
            </w:pPr>
            <w:r>
              <w:rPr>
                <w:rFonts w:hint="eastAsia" w:eastAsia="仿宋"/>
                <w:sz w:val="20"/>
                <w:szCs w:val="48"/>
              </w:rPr>
              <w:t>电动汽车保有量渗透率（</w:t>
            </w:r>
            <w:r>
              <w:rPr>
                <w:rFonts w:eastAsia="仿宋"/>
                <w:sz w:val="20"/>
                <w:szCs w:val="48"/>
              </w:rPr>
              <w:t>%</w:t>
            </w:r>
            <w:r>
              <w:rPr>
                <w:rFonts w:hint="eastAsia" w:eastAsia="仿宋"/>
                <w:sz w:val="20"/>
                <w:szCs w:val="48"/>
              </w:rPr>
              <w:t>）</w:t>
            </w:r>
          </w:p>
        </w:tc>
        <w:tc>
          <w:tcPr>
            <w:tcW w:w="648" w:type="dxa"/>
            <w:vAlign w:val="center"/>
          </w:tcPr>
          <w:p>
            <w:pPr>
              <w:pStyle w:val="2"/>
              <w:spacing w:line="300" w:lineRule="exact"/>
              <w:ind w:firstLine="0" w:firstLineChars="0"/>
              <w:jc w:val="center"/>
              <w:rPr>
                <w:rFonts w:eastAsia="仿宋"/>
                <w:sz w:val="20"/>
                <w:szCs w:val="48"/>
              </w:rPr>
            </w:pPr>
            <w:r>
              <w:rPr>
                <w:rFonts w:eastAsia="仿宋"/>
                <w:sz w:val="20"/>
                <w:szCs w:val="48"/>
              </w:rPr>
              <w:t>1.7</w:t>
            </w:r>
          </w:p>
        </w:tc>
        <w:tc>
          <w:tcPr>
            <w:tcW w:w="859" w:type="dxa"/>
            <w:vAlign w:val="center"/>
          </w:tcPr>
          <w:p>
            <w:pPr>
              <w:pStyle w:val="2"/>
              <w:spacing w:line="300" w:lineRule="exact"/>
              <w:ind w:firstLine="0" w:firstLineChars="0"/>
              <w:jc w:val="center"/>
              <w:rPr>
                <w:rFonts w:eastAsia="仿宋"/>
                <w:sz w:val="20"/>
                <w:szCs w:val="48"/>
              </w:rPr>
            </w:pPr>
            <w:r>
              <w:rPr>
                <w:rFonts w:hint="eastAsia" w:eastAsia="仿宋"/>
                <w:sz w:val="20"/>
                <w:szCs w:val="48"/>
              </w:rPr>
              <w:t>53.9</w:t>
            </w:r>
          </w:p>
        </w:tc>
        <w:tc>
          <w:tcPr>
            <w:tcW w:w="859" w:type="dxa"/>
            <w:vAlign w:val="center"/>
          </w:tcPr>
          <w:p>
            <w:pPr>
              <w:pStyle w:val="2"/>
              <w:spacing w:line="300" w:lineRule="exact"/>
              <w:ind w:firstLine="0" w:firstLineChars="0"/>
              <w:jc w:val="center"/>
              <w:rPr>
                <w:rFonts w:eastAsia="仿宋"/>
                <w:sz w:val="20"/>
                <w:szCs w:val="48"/>
              </w:rPr>
            </w:pPr>
            <w:r>
              <w:rPr>
                <w:rFonts w:eastAsia="仿宋"/>
                <w:sz w:val="20"/>
                <w:szCs w:val="48"/>
              </w:rPr>
              <w:t>30</w:t>
            </w:r>
          </w:p>
        </w:tc>
        <w:tc>
          <w:tcPr>
            <w:tcW w:w="859" w:type="dxa"/>
            <w:vAlign w:val="center"/>
          </w:tcPr>
          <w:p>
            <w:pPr>
              <w:pStyle w:val="2"/>
              <w:spacing w:line="300" w:lineRule="exact"/>
              <w:ind w:firstLine="0" w:firstLineChars="0"/>
              <w:jc w:val="center"/>
              <w:rPr>
                <w:rFonts w:eastAsia="仿宋"/>
                <w:sz w:val="20"/>
                <w:szCs w:val="48"/>
              </w:rPr>
            </w:pPr>
            <w:r>
              <w:rPr>
                <w:rFonts w:eastAsia="仿宋"/>
                <w:sz w:val="20"/>
                <w:szCs w:val="48"/>
              </w:rPr>
              <w:t>8.6</w:t>
            </w:r>
          </w:p>
        </w:tc>
        <w:tc>
          <w:tcPr>
            <w:tcW w:w="859" w:type="dxa"/>
            <w:vAlign w:val="center"/>
          </w:tcPr>
          <w:p>
            <w:pPr>
              <w:pStyle w:val="2"/>
              <w:spacing w:line="300" w:lineRule="exact"/>
              <w:ind w:firstLine="0" w:firstLineChars="0"/>
              <w:jc w:val="center"/>
              <w:rPr>
                <w:rFonts w:eastAsia="仿宋"/>
                <w:sz w:val="20"/>
                <w:szCs w:val="48"/>
              </w:rPr>
            </w:pPr>
            <w:r>
              <w:rPr>
                <w:rFonts w:eastAsia="仿宋"/>
                <w:sz w:val="20"/>
                <w:szCs w:val="48"/>
              </w:rPr>
              <w:t>61.7</w:t>
            </w:r>
          </w:p>
        </w:tc>
        <w:tc>
          <w:tcPr>
            <w:tcW w:w="859" w:type="dxa"/>
            <w:vAlign w:val="center"/>
          </w:tcPr>
          <w:p>
            <w:pPr>
              <w:pStyle w:val="2"/>
              <w:spacing w:line="300" w:lineRule="exact"/>
              <w:ind w:firstLine="0" w:firstLineChars="0"/>
              <w:jc w:val="center"/>
              <w:rPr>
                <w:rFonts w:eastAsia="仿宋"/>
                <w:sz w:val="20"/>
                <w:szCs w:val="48"/>
              </w:rPr>
            </w:pPr>
            <w:r>
              <w:rPr>
                <w:rFonts w:eastAsia="仿宋"/>
                <w:sz w:val="20"/>
                <w:szCs w:val="48"/>
              </w:rPr>
              <w:t>0.8</w:t>
            </w:r>
          </w:p>
        </w:tc>
        <w:tc>
          <w:tcPr>
            <w:tcW w:w="648" w:type="dxa"/>
            <w:vAlign w:val="center"/>
          </w:tcPr>
          <w:p>
            <w:pPr>
              <w:pStyle w:val="2"/>
              <w:spacing w:line="300" w:lineRule="exact"/>
              <w:ind w:firstLine="0" w:firstLineChars="0"/>
              <w:jc w:val="center"/>
              <w:rPr>
                <w:rFonts w:eastAsia="仿宋"/>
                <w:sz w:val="20"/>
                <w:szCs w:val="48"/>
              </w:rPr>
            </w:pPr>
            <w:r>
              <w:rPr>
                <w:rFonts w:hint="eastAsia" w:eastAsia="仿宋"/>
                <w:sz w:val="20"/>
                <w:szCs w:val="48"/>
              </w:rPr>
              <w:t>0.48</w:t>
            </w:r>
          </w:p>
        </w:tc>
      </w:tr>
    </w:tbl>
    <w:p>
      <w:pPr>
        <w:pStyle w:val="26"/>
        <w:spacing w:beforeLines="50" w:line="580" w:lineRule="exact"/>
        <w:ind w:firstLine="0"/>
        <w:rPr>
          <w:rFonts w:eastAsia="仿宋_GB2312"/>
          <w:bCs/>
          <w:sz w:val="24"/>
          <w:szCs w:val="24"/>
        </w:rPr>
      </w:pPr>
      <w:r>
        <w:rPr>
          <w:rFonts w:hint="eastAsia" w:eastAsia="仿宋_GB2312"/>
          <w:bCs/>
          <w:sz w:val="24"/>
          <w:szCs w:val="24"/>
        </w:rPr>
        <w:t xml:space="preserve">表16  </w:t>
      </w:r>
      <w:r>
        <w:rPr>
          <w:rFonts w:eastAsia="仿宋_GB2312"/>
          <w:bCs/>
          <w:sz w:val="24"/>
          <w:szCs w:val="24"/>
        </w:rPr>
        <w:t>2021-2025</w:t>
      </w:r>
      <w:r>
        <w:rPr>
          <w:rFonts w:hint="eastAsia" w:eastAsia="仿宋_GB2312"/>
          <w:bCs/>
          <w:sz w:val="24"/>
          <w:szCs w:val="24"/>
        </w:rPr>
        <w:t>年电动公交车推广预测</w:t>
      </w:r>
    </w:p>
    <w:tbl>
      <w:tblPr>
        <w:tblStyle w:val="17"/>
        <w:tblW w:w="852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910"/>
        <w:gridCol w:w="954"/>
        <w:gridCol w:w="941"/>
        <w:gridCol w:w="954"/>
        <w:gridCol w:w="902"/>
        <w:gridCol w:w="8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jc w:val="center"/>
        </w:trPr>
        <w:tc>
          <w:tcPr>
            <w:tcW w:w="3910" w:type="dxa"/>
            <w:vAlign w:val="center"/>
          </w:tcPr>
          <w:p>
            <w:pPr>
              <w:pStyle w:val="27"/>
              <w:spacing w:line="300" w:lineRule="exact"/>
              <w:jc w:val="center"/>
              <w:rPr>
                <w:rFonts w:ascii="仿宋" w:hAnsi="仿宋" w:eastAsia="仿宋"/>
              </w:rPr>
            </w:pPr>
            <w:r>
              <w:rPr>
                <w:rFonts w:hint="eastAsia" w:ascii="仿宋" w:hAnsi="仿宋" w:eastAsia="仿宋"/>
              </w:rPr>
              <w:t>年份</w:t>
            </w:r>
          </w:p>
        </w:tc>
        <w:tc>
          <w:tcPr>
            <w:tcW w:w="954" w:type="dxa"/>
            <w:vAlign w:val="center"/>
          </w:tcPr>
          <w:p>
            <w:pPr>
              <w:pStyle w:val="27"/>
              <w:spacing w:line="300" w:lineRule="exact"/>
              <w:jc w:val="center"/>
            </w:pPr>
            <w:r>
              <w:rPr>
                <w:rFonts w:hint="eastAsia"/>
              </w:rPr>
              <w:t>2021</w:t>
            </w:r>
          </w:p>
        </w:tc>
        <w:tc>
          <w:tcPr>
            <w:tcW w:w="941" w:type="dxa"/>
            <w:vAlign w:val="center"/>
          </w:tcPr>
          <w:p>
            <w:pPr>
              <w:pStyle w:val="27"/>
              <w:spacing w:line="300" w:lineRule="exact"/>
              <w:jc w:val="center"/>
            </w:pPr>
            <w:r>
              <w:rPr>
                <w:rFonts w:hint="eastAsia"/>
              </w:rPr>
              <w:t>2022</w:t>
            </w:r>
          </w:p>
        </w:tc>
        <w:tc>
          <w:tcPr>
            <w:tcW w:w="954" w:type="dxa"/>
            <w:vAlign w:val="center"/>
          </w:tcPr>
          <w:p>
            <w:pPr>
              <w:pStyle w:val="27"/>
              <w:spacing w:line="300" w:lineRule="exact"/>
              <w:jc w:val="center"/>
            </w:pPr>
            <w:r>
              <w:rPr>
                <w:rFonts w:hint="eastAsia"/>
              </w:rPr>
              <w:t>2023</w:t>
            </w:r>
          </w:p>
        </w:tc>
        <w:tc>
          <w:tcPr>
            <w:tcW w:w="902" w:type="dxa"/>
            <w:vAlign w:val="center"/>
          </w:tcPr>
          <w:p>
            <w:pPr>
              <w:pStyle w:val="27"/>
              <w:spacing w:line="300" w:lineRule="exact"/>
              <w:jc w:val="center"/>
            </w:pPr>
            <w:r>
              <w:rPr>
                <w:rFonts w:hint="eastAsia"/>
              </w:rPr>
              <w:t>2024</w:t>
            </w:r>
          </w:p>
        </w:tc>
        <w:tc>
          <w:tcPr>
            <w:tcW w:w="861" w:type="dxa"/>
            <w:vAlign w:val="center"/>
          </w:tcPr>
          <w:p>
            <w:pPr>
              <w:pStyle w:val="27"/>
              <w:spacing w:line="300" w:lineRule="exact"/>
              <w:jc w:val="center"/>
            </w:pPr>
            <w:r>
              <w:rPr>
                <w:rFonts w:hint="eastAsia"/>
              </w:rPr>
              <w:t>2025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jc w:val="center"/>
        </w:trPr>
        <w:tc>
          <w:tcPr>
            <w:tcW w:w="3910" w:type="dxa"/>
            <w:vAlign w:val="center"/>
          </w:tcPr>
          <w:p>
            <w:pPr>
              <w:pStyle w:val="27"/>
              <w:spacing w:line="300" w:lineRule="exact"/>
              <w:jc w:val="center"/>
              <w:rPr>
                <w:rFonts w:ascii="仿宋" w:hAnsi="仿宋" w:eastAsia="仿宋"/>
              </w:rPr>
            </w:pPr>
            <w:r>
              <w:rPr>
                <w:rFonts w:hint="eastAsia" w:ascii="仿宋" w:hAnsi="仿宋" w:eastAsia="仿宋"/>
              </w:rPr>
              <w:t>公交车总保有量预计（万辆）</w:t>
            </w:r>
          </w:p>
        </w:tc>
        <w:tc>
          <w:tcPr>
            <w:tcW w:w="954" w:type="dxa"/>
            <w:vAlign w:val="center"/>
          </w:tcPr>
          <w:p>
            <w:pPr>
              <w:pStyle w:val="27"/>
              <w:spacing w:line="300" w:lineRule="exact"/>
              <w:jc w:val="center"/>
            </w:pPr>
            <w:r>
              <w:t>1</w:t>
            </w:r>
            <w:r>
              <w:rPr>
                <w:rFonts w:hint="eastAsia"/>
              </w:rPr>
              <w:t>.</w:t>
            </w:r>
            <w:r>
              <w:t>9</w:t>
            </w:r>
          </w:p>
        </w:tc>
        <w:tc>
          <w:tcPr>
            <w:tcW w:w="941" w:type="dxa"/>
            <w:vAlign w:val="center"/>
          </w:tcPr>
          <w:p>
            <w:pPr>
              <w:pStyle w:val="27"/>
              <w:spacing w:line="300" w:lineRule="exact"/>
              <w:jc w:val="center"/>
            </w:pPr>
            <w:r>
              <w:t>2</w:t>
            </w:r>
            <w:r>
              <w:rPr>
                <w:rFonts w:hint="eastAsia"/>
              </w:rPr>
              <w:t>.</w:t>
            </w:r>
            <w:r>
              <w:t>0</w:t>
            </w:r>
          </w:p>
        </w:tc>
        <w:tc>
          <w:tcPr>
            <w:tcW w:w="954" w:type="dxa"/>
            <w:vAlign w:val="center"/>
          </w:tcPr>
          <w:p>
            <w:pPr>
              <w:pStyle w:val="27"/>
              <w:spacing w:line="300" w:lineRule="exact"/>
              <w:jc w:val="center"/>
            </w:pPr>
            <w:r>
              <w:t>2</w:t>
            </w:r>
            <w:r>
              <w:rPr>
                <w:rFonts w:hint="eastAsia"/>
              </w:rPr>
              <w:t>.</w:t>
            </w:r>
            <w:r>
              <w:t>1</w:t>
            </w:r>
          </w:p>
        </w:tc>
        <w:tc>
          <w:tcPr>
            <w:tcW w:w="902" w:type="dxa"/>
            <w:vAlign w:val="center"/>
          </w:tcPr>
          <w:p>
            <w:pPr>
              <w:pStyle w:val="27"/>
              <w:spacing w:line="300" w:lineRule="exact"/>
              <w:jc w:val="center"/>
            </w:pPr>
            <w:r>
              <w:t>2</w:t>
            </w:r>
            <w:r>
              <w:rPr>
                <w:rFonts w:hint="eastAsia"/>
              </w:rPr>
              <w:t>.</w:t>
            </w:r>
            <w:r>
              <w:t>2</w:t>
            </w:r>
          </w:p>
        </w:tc>
        <w:tc>
          <w:tcPr>
            <w:tcW w:w="861" w:type="dxa"/>
            <w:vAlign w:val="center"/>
          </w:tcPr>
          <w:p>
            <w:pPr>
              <w:pStyle w:val="27"/>
              <w:spacing w:line="300" w:lineRule="exact"/>
              <w:jc w:val="center"/>
            </w:pPr>
            <w:r>
              <w:t>2</w:t>
            </w:r>
            <w:r>
              <w:rPr>
                <w:rFonts w:hint="eastAsia"/>
              </w:rPr>
              <w:t>.</w:t>
            </w:r>
            <w: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jc w:val="center"/>
        </w:trPr>
        <w:tc>
          <w:tcPr>
            <w:tcW w:w="3910" w:type="dxa"/>
            <w:vAlign w:val="center"/>
          </w:tcPr>
          <w:p>
            <w:pPr>
              <w:pStyle w:val="27"/>
              <w:spacing w:line="300" w:lineRule="exact"/>
              <w:jc w:val="center"/>
              <w:rPr>
                <w:rFonts w:ascii="仿宋" w:hAnsi="仿宋" w:eastAsia="仿宋"/>
              </w:rPr>
            </w:pPr>
            <w:r>
              <w:rPr>
                <w:rFonts w:hint="eastAsia" w:ascii="仿宋" w:hAnsi="仿宋" w:eastAsia="仿宋"/>
              </w:rPr>
              <w:t>电动公交车保有量</w:t>
            </w:r>
            <w:r>
              <w:rPr>
                <w:rFonts w:ascii="仿宋" w:hAnsi="仿宋" w:eastAsia="仿宋"/>
              </w:rPr>
              <w:t>(</w:t>
            </w:r>
            <w:r>
              <w:rPr>
                <w:rFonts w:hint="eastAsia" w:ascii="仿宋" w:hAnsi="仿宋" w:eastAsia="仿宋"/>
              </w:rPr>
              <w:t>万辆</w:t>
            </w:r>
            <w:r>
              <w:rPr>
                <w:rFonts w:ascii="仿宋" w:hAnsi="仿宋" w:eastAsia="仿宋"/>
              </w:rPr>
              <w:t>)</w:t>
            </w:r>
          </w:p>
        </w:tc>
        <w:tc>
          <w:tcPr>
            <w:tcW w:w="954" w:type="dxa"/>
            <w:vAlign w:val="center"/>
          </w:tcPr>
          <w:p>
            <w:pPr>
              <w:pStyle w:val="27"/>
              <w:spacing w:line="300" w:lineRule="exact"/>
              <w:jc w:val="center"/>
            </w:pPr>
            <w:r>
              <w:t>1.</w:t>
            </w:r>
            <w:r>
              <w:rPr>
                <w:rFonts w:hint="eastAsia"/>
              </w:rPr>
              <w:t>1</w:t>
            </w:r>
          </w:p>
        </w:tc>
        <w:tc>
          <w:tcPr>
            <w:tcW w:w="941" w:type="dxa"/>
            <w:vAlign w:val="center"/>
          </w:tcPr>
          <w:p>
            <w:pPr>
              <w:pStyle w:val="27"/>
              <w:spacing w:line="300" w:lineRule="exact"/>
              <w:jc w:val="center"/>
            </w:pPr>
            <w:r>
              <w:t>1.</w:t>
            </w:r>
            <w:r>
              <w:rPr>
                <w:rFonts w:hint="eastAsia"/>
              </w:rPr>
              <w:t>3</w:t>
            </w:r>
          </w:p>
        </w:tc>
        <w:tc>
          <w:tcPr>
            <w:tcW w:w="954" w:type="dxa"/>
            <w:vAlign w:val="center"/>
          </w:tcPr>
          <w:p>
            <w:pPr>
              <w:pStyle w:val="27"/>
              <w:spacing w:line="300" w:lineRule="exact"/>
              <w:jc w:val="center"/>
            </w:pPr>
            <w:r>
              <w:t>1.</w:t>
            </w:r>
            <w:r>
              <w:rPr>
                <w:rFonts w:hint="eastAsia"/>
              </w:rPr>
              <w:t>5</w:t>
            </w:r>
          </w:p>
        </w:tc>
        <w:tc>
          <w:tcPr>
            <w:tcW w:w="902" w:type="dxa"/>
            <w:vAlign w:val="center"/>
          </w:tcPr>
          <w:p>
            <w:pPr>
              <w:pStyle w:val="27"/>
              <w:spacing w:line="300" w:lineRule="exact"/>
              <w:jc w:val="center"/>
            </w:pPr>
            <w:r>
              <w:t>1.7</w:t>
            </w:r>
          </w:p>
        </w:tc>
        <w:tc>
          <w:tcPr>
            <w:tcW w:w="861" w:type="dxa"/>
            <w:vAlign w:val="center"/>
          </w:tcPr>
          <w:p>
            <w:pPr>
              <w:pStyle w:val="27"/>
              <w:spacing w:line="300" w:lineRule="exact"/>
              <w:jc w:val="center"/>
              <w:rPr>
                <w:sz w:val="18"/>
              </w:rPr>
            </w:pPr>
            <w: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jc w:val="center"/>
        </w:trPr>
        <w:tc>
          <w:tcPr>
            <w:tcW w:w="3910" w:type="dxa"/>
            <w:vAlign w:val="center"/>
          </w:tcPr>
          <w:p>
            <w:pPr>
              <w:pStyle w:val="27"/>
              <w:spacing w:line="300" w:lineRule="exact"/>
              <w:jc w:val="center"/>
              <w:rPr>
                <w:rFonts w:ascii="仿宋" w:hAnsi="仿宋" w:eastAsia="仿宋"/>
              </w:rPr>
            </w:pPr>
            <w:r>
              <w:rPr>
                <w:rFonts w:hint="eastAsia" w:ascii="仿宋" w:hAnsi="仿宋" w:eastAsia="仿宋"/>
              </w:rPr>
              <w:t>占比</w:t>
            </w:r>
          </w:p>
        </w:tc>
        <w:tc>
          <w:tcPr>
            <w:tcW w:w="954" w:type="dxa"/>
            <w:vAlign w:val="center"/>
          </w:tcPr>
          <w:p>
            <w:pPr>
              <w:pStyle w:val="27"/>
              <w:spacing w:line="300" w:lineRule="exact"/>
              <w:jc w:val="center"/>
            </w:pPr>
            <w:r>
              <w:t>5</w:t>
            </w:r>
            <w:r>
              <w:rPr>
                <w:rFonts w:hint="eastAsia"/>
              </w:rPr>
              <w:t>7.9%</w:t>
            </w:r>
          </w:p>
        </w:tc>
        <w:tc>
          <w:tcPr>
            <w:tcW w:w="941" w:type="dxa"/>
            <w:vAlign w:val="center"/>
          </w:tcPr>
          <w:p>
            <w:pPr>
              <w:pStyle w:val="27"/>
              <w:spacing w:line="300" w:lineRule="exact"/>
              <w:jc w:val="center"/>
            </w:pPr>
            <w:r>
              <w:t>6</w:t>
            </w:r>
            <w:r>
              <w:rPr>
                <w:rFonts w:hint="eastAsia"/>
              </w:rPr>
              <w:t>5%</w:t>
            </w:r>
          </w:p>
        </w:tc>
        <w:tc>
          <w:tcPr>
            <w:tcW w:w="954" w:type="dxa"/>
            <w:vAlign w:val="center"/>
          </w:tcPr>
          <w:p>
            <w:pPr>
              <w:pStyle w:val="27"/>
              <w:spacing w:line="300" w:lineRule="exact"/>
              <w:jc w:val="center"/>
            </w:pPr>
            <w:r>
              <w:rPr>
                <w:rFonts w:hint="eastAsia"/>
              </w:rPr>
              <w:t>71%</w:t>
            </w:r>
          </w:p>
        </w:tc>
        <w:tc>
          <w:tcPr>
            <w:tcW w:w="902" w:type="dxa"/>
            <w:vAlign w:val="center"/>
          </w:tcPr>
          <w:p>
            <w:pPr>
              <w:pStyle w:val="27"/>
              <w:spacing w:line="300" w:lineRule="exact"/>
              <w:jc w:val="center"/>
            </w:pPr>
            <w:r>
              <w:t>77</w:t>
            </w:r>
            <w:r>
              <w:rPr>
                <w:rFonts w:hint="eastAsia"/>
              </w:rPr>
              <w:t>%</w:t>
            </w:r>
          </w:p>
        </w:tc>
        <w:tc>
          <w:tcPr>
            <w:tcW w:w="861" w:type="dxa"/>
            <w:vAlign w:val="center"/>
          </w:tcPr>
          <w:p>
            <w:pPr>
              <w:pStyle w:val="27"/>
              <w:spacing w:line="300" w:lineRule="exact"/>
              <w:jc w:val="center"/>
            </w:pPr>
            <w:r>
              <w:t>8</w:t>
            </w:r>
            <w:r>
              <w:rPr>
                <w:rFonts w:hint="eastAsia"/>
              </w:rPr>
              <w:t>7%</w:t>
            </w:r>
          </w:p>
        </w:tc>
      </w:tr>
    </w:tbl>
    <w:p>
      <w:pPr>
        <w:pStyle w:val="26"/>
        <w:spacing w:line="240" w:lineRule="auto"/>
        <w:ind w:firstLine="0"/>
        <w:rPr>
          <w:bCs/>
          <w:sz w:val="22"/>
          <w:szCs w:val="22"/>
        </w:rPr>
      </w:pPr>
    </w:p>
    <w:p>
      <w:pPr>
        <w:pStyle w:val="26"/>
        <w:spacing w:line="240" w:lineRule="auto"/>
        <w:ind w:firstLine="0"/>
        <w:rPr>
          <w:bCs/>
          <w:sz w:val="22"/>
          <w:szCs w:val="22"/>
        </w:rPr>
      </w:pPr>
      <w:r>
        <w:rPr>
          <w:rFonts w:hint="eastAsia"/>
          <w:bCs/>
          <w:sz w:val="22"/>
          <w:szCs w:val="22"/>
        </w:rPr>
        <w:drawing>
          <wp:inline distT="0" distB="0" distL="0" distR="0">
            <wp:extent cx="4994275" cy="1466215"/>
            <wp:effectExtent l="0" t="0" r="0" b="0"/>
            <wp:docPr id="48" name="图表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pPr>
        <w:pStyle w:val="26"/>
        <w:spacing w:line="240" w:lineRule="auto"/>
        <w:ind w:firstLine="0"/>
        <w:rPr>
          <w:rFonts w:eastAsia="仿宋_GB2312"/>
          <w:bCs/>
          <w:sz w:val="24"/>
          <w:szCs w:val="24"/>
        </w:rPr>
      </w:pPr>
      <w:r>
        <w:rPr>
          <w:rFonts w:hint="eastAsia" w:eastAsia="仿宋_GB2312"/>
          <w:bCs/>
          <w:sz w:val="24"/>
          <w:szCs w:val="24"/>
        </w:rPr>
        <w:t xml:space="preserve">图17  </w:t>
      </w:r>
      <w:r>
        <w:rPr>
          <w:rFonts w:eastAsia="仿宋_GB2312"/>
          <w:bCs/>
          <w:sz w:val="24"/>
          <w:szCs w:val="24"/>
        </w:rPr>
        <w:t>2021-2025</w:t>
      </w:r>
      <w:r>
        <w:rPr>
          <w:rFonts w:hint="eastAsia" w:eastAsia="仿宋_GB2312"/>
          <w:bCs/>
          <w:sz w:val="24"/>
          <w:szCs w:val="24"/>
        </w:rPr>
        <w:t>年电动公交车推广预测</w:t>
      </w:r>
    </w:p>
    <w:p>
      <w:pPr>
        <w:pStyle w:val="26"/>
        <w:spacing w:beforeLines="50" w:line="240" w:lineRule="auto"/>
        <w:ind w:firstLine="0"/>
        <w:rPr>
          <w:rFonts w:eastAsia="仿宋_GB2312"/>
          <w:bCs/>
          <w:sz w:val="24"/>
          <w:szCs w:val="24"/>
        </w:rPr>
      </w:pPr>
      <w:r>
        <w:rPr>
          <w:rFonts w:hint="eastAsia" w:eastAsia="仿宋_GB2312"/>
          <w:bCs/>
          <w:sz w:val="24"/>
          <w:szCs w:val="24"/>
        </w:rPr>
        <w:t xml:space="preserve">表17  </w:t>
      </w:r>
      <w:r>
        <w:rPr>
          <w:rFonts w:eastAsia="仿宋_GB2312"/>
          <w:bCs/>
          <w:sz w:val="24"/>
          <w:szCs w:val="24"/>
        </w:rPr>
        <w:t>2021-2025</w:t>
      </w:r>
      <w:r>
        <w:rPr>
          <w:rFonts w:hint="eastAsia" w:eastAsia="仿宋_GB2312"/>
          <w:bCs/>
          <w:sz w:val="24"/>
          <w:szCs w:val="24"/>
        </w:rPr>
        <w:t>年电动出租车推广预测</w:t>
      </w:r>
    </w:p>
    <w:tbl>
      <w:tblPr>
        <w:tblStyle w:val="17"/>
        <w:tblW w:w="852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912"/>
        <w:gridCol w:w="954"/>
        <w:gridCol w:w="941"/>
        <w:gridCol w:w="954"/>
        <w:gridCol w:w="876"/>
        <w:gridCol w:w="8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70" w:hRule="atLeast"/>
          <w:jc w:val="center"/>
        </w:trPr>
        <w:tc>
          <w:tcPr>
            <w:tcW w:w="3912" w:type="dxa"/>
            <w:vAlign w:val="center"/>
          </w:tcPr>
          <w:p>
            <w:pPr>
              <w:pStyle w:val="27"/>
              <w:jc w:val="center"/>
              <w:rPr>
                <w:rFonts w:ascii="仿宋" w:hAnsi="仿宋" w:eastAsia="仿宋"/>
              </w:rPr>
            </w:pPr>
            <w:r>
              <w:rPr>
                <w:rFonts w:hint="eastAsia" w:ascii="仿宋" w:hAnsi="仿宋" w:eastAsia="仿宋"/>
              </w:rPr>
              <w:t>年份</w:t>
            </w:r>
          </w:p>
        </w:tc>
        <w:tc>
          <w:tcPr>
            <w:tcW w:w="954" w:type="dxa"/>
            <w:vAlign w:val="center"/>
          </w:tcPr>
          <w:p>
            <w:pPr>
              <w:pStyle w:val="27"/>
              <w:jc w:val="center"/>
            </w:pPr>
            <w:r>
              <w:rPr>
                <w:rFonts w:hint="eastAsia"/>
              </w:rPr>
              <w:t>2021</w:t>
            </w:r>
          </w:p>
        </w:tc>
        <w:tc>
          <w:tcPr>
            <w:tcW w:w="941" w:type="dxa"/>
            <w:vAlign w:val="center"/>
          </w:tcPr>
          <w:p>
            <w:pPr>
              <w:pStyle w:val="27"/>
              <w:jc w:val="center"/>
            </w:pPr>
            <w:r>
              <w:rPr>
                <w:rFonts w:hint="eastAsia"/>
              </w:rPr>
              <w:t>2022</w:t>
            </w:r>
          </w:p>
        </w:tc>
        <w:tc>
          <w:tcPr>
            <w:tcW w:w="954" w:type="dxa"/>
            <w:vAlign w:val="center"/>
          </w:tcPr>
          <w:p>
            <w:pPr>
              <w:pStyle w:val="27"/>
              <w:jc w:val="center"/>
            </w:pPr>
            <w:r>
              <w:rPr>
                <w:rFonts w:hint="eastAsia"/>
              </w:rPr>
              <w:t>2023</w:t>
            </w:r>
          </w:p>
        </w:tc>
        <w:tc>
          <w:tcPr>
            <w:tcW w:w="876" w:type="dxa"/>
            <w:vAlign w:val="center"/>
          </w:tcPr>
          <w:p>
            <w:pPr>
              <w:pStyle w:val="27"/>
              <w:jc w:val="center"/>
            </w:pPr>
            <w:r>
              <w:rPr>
                <w:rFonts w:hint="eastAsia"/>
              </w:rPr>
              <w:t>2024</w:t>
            </w:r>
          </w:p>
        </w:tc>
        <w:tc>
          <w:tcPr>
            <w:tcW w:w="885" w:type="dxa"/>
            <w:vAlign w:val="center"/>
          </w:tcPr>
          <w:p>
            <w:pPr>
              <w:pStyle w:val="27"/>
              <w:jc w:val="center"/>
            </w:pPr>
            <w:r>
              <w:rPr>
                <w:rFonts w:hint="eastAsia"/>
              </w:rPr>
              <w:t>2025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jc w:val="center"/>
        </w:trPr>
        <w:tc>
          <w:tcPr>
            <w:tcW w:w="3912" w:type="dxa"/>
            <w:vAlign w:val="center"/>
          </w:tcPr>
          <w:p>
            <w:pPr>
              <w:pStyle w:val="27"/>
              <w:jc w:val="center"/>
              <w:rPr>
                <w:rFonts w:ascii="仿宋" w:hAnsi="仿宋" w:eastAsia="仿宋"/>
              </w:rPr>
            </w:pPr>
            <w:r>
              <w:rPr>
                <w:rFonts w:hint="eastAsia" w:ascii="仿宋" w:hAnsi="仿宋" w:eastAsia="仿宋"/>
              </w:rPr>
              <w:t>巡游出租车总保有量预计（万辆）</w:t>
            </w:r>
          </w:p>
        </w:tc>
        <w:tc>
          <w:tcPr>
            <w:tcW w:w="954" w:type="dxa"/>
            <w:vAlign w:val="center"/>
          </w:tcPr>
          <w:p>
            <w:pPr>
              <w:pStyle w:val="27"/>
              <w:jc w:val="center"/>
            </w:pPr>
            <w:r>
              <w:rPr>
                <w:rFonts w:hint="eastAsia"/>
              </w:rPr>
              <w:t>4.2</w:t>
            </w:r>
          </w:p>
        </w:tc>
        <w:tc>
          <w:tcPr>
            <w:tcW w:w="941" w:type="dxa"/>
            <w:vAlign w:val="center"/>
          </w:tcPr>
          <w:p>
            <w:pPr>
              <w:pStyle w:val="27"/>
              <w:jc w:val="center"/>
            </w:pPr>
            <w:r>
              <w:rPr>
                <w:rFonts w:hint="eastAsia"/>
              </w:rPr>
              <w:t>4.4</w:t>
            </w:r>
          </w:p>
        </w:tc>
        <w:tc>
          <w:tcPr>
            <w:tcW w:w="954" w:type="dxa"/>
            <w:vAlign w:val="center"/>
          </w:tcPr>
          <w:p>
            <w:pPr>
              <w:pStyle w:val="27"/>
              <w:jc w:val="center"/>
            </w:pPr>
            <w:r>
              <w:rPr>
                <w:rFonts w:hint="eastAsia"/>
              </w:rPr>
              <w:t>4.7</w:t>
            </w:r>
          </w:p>
        </w:tc>
        <w:tc>
          <w:tcPr>
            <w:tcW w:w="876" w:type="dxa"/>
            <w:vAlign w:val="center"/>
          </w:tcPr>
          <w:p>
            <w:pPr>
              <w:pStyle w:val="27"/>
              <w:jc w:val="center"/>
            </w:pPr>
            <w:r>
              <w:rPr>
                <w:rFonts w:hint="eastAsia"/>
              </w:rPr>
              <w:t>4.9</w:t>
            </w:r>
          </w:p>
        </w:tc>
        <w:tc>
          <w:tcPr>
            <w:tcW w:w="885" w:type="dxa"/>
            <w:vAlign w:val="center"/>
          </w:tcPr>
          <w:p>
            <w:pPr>
              <w:pStyle w:val="27"/>
              <w:jc w:val="center"/>
            </w:pPr>
            <w:r>
              <w:rPr>
                <w:rFonts w:hint="eastAsia"/>
              </w:rPr>
              <w:t>5.1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3912" w:type="dxa"/>
            <w:vAlign w:val="center"/>
          </w:tcPr>
          <w:p>
            <w:pPr>
              <w:pStyle w:val="27"/>
              <w:jc w:val="center"/>
              <w:rPr>
                <w:rFonts w:ascii="仿宋" w:hAnsi="仿宋" w:eastAsia="仿宋"/>
              </w:rPr>
            </w:pPr>
            <w:r>
              <w:rPr>
                <w:rFonts w:hint="eastAsia" w:ascii="仿宋" w:hAnsi="仿宋" w:eastAsia="仿宋"/>
              </w:rPr>
              <w:t>电动巡游出租车保有量</w:t>
            </w:r>
            <w:r>
              <w:rPr>
                <w:rFonts w:ascii="仿宋" w:hAnsi="仿宋" w:eastAsia="仿宋"/>
              </w:rPr>
              <w:t>(</w:t>
            </w:r>
            <w:r>
              <w:rPr>
                <w:rFonts w:hint="eastAsia" w:ascii="仿宋" w:hAnsi="仿宋" w:eastAsia="仿宋"/>
              </w:rPr>
              <w:t>万辆</w:t>
            </w:r>
            <w:r>
              <w:rPr>
                <w:rFonts w:ascii="仿宋" w:hAnsi="仿宋" w:eastAsia="仿宋"/>
              </w:rPr>
              <w:t>)</w:t>
            </w:r>
          </w:p>
        </w:tc>
        <w:tc>
          <w:tcPr>
            <w:tcW w:w="954" w:type="dxa"/>
            <w:vAlign w:val="center"/>
          </w:tcPr>
          <w:p>
            <w:pPr>
              <w:pStyle w:val="27"/>
              <w:jc w:val="center"/>
            </w:pPr>
            <w:r>
              <w:t>1.5</w:t>
            </w:r>
          </w:p>
        </w:tc>
        <w:tc>
          <w:tcPr>
            <w:tcW w:w="941" w:type="dxa"/>
            <w:vAlign w:val="center"/>
          </w:tcPr>
          <w:p>
            <w:pPr>
              <w:pStyle w:val="27"/>
              <w:widowControl/>
              <w:jc w:val="center"/>
              <w:textAlignment w:val="center"/>
            </w:pPr>
            <w:r>
              <w:t>1.8</w:t>
            </w:r>
          </w:p>
        </w:tc>
        <w:tc>
          <w:tcPr>
            <w:tcW w:w="954" w:type="dxa"/>
            <w:vAlign w:val="center"/>
          </w:tcPr>
          <w:p>
            <w:pPr>
              <w:pStyle w:val="27"/>
              <w:widowControl/>
              <w:jc w:val="center"/>
              <w:textAlignment w:val="center"/>
            </w:pPr>
            <w:r>
              <w:t>2.1</w:t>
            </w:r>
          </w:p>
        </w:tc>
        <w:tc>
          <w:tcPr>
            <w:tcW w:w="876" w:type="dxa"/>
            <w:vAlign w:val="center"/>
          </w:tcPr>
          <w:p>
            <w:pPr>
              <w:pStyle w:val="27"/>
              <w:widowControl/>
              <w:jc w:val="center"/>
              <w:textAlignment w:val="center"/>
              <w:rPr>
                <w:sz w:val="18"/>
              </w:rPr>
            </w:pPr>
            <w:r>
              <w:t>2.5</w:t>
            </w:r>
          </w:p>
        </w:tc>
        <w:tc>
          <w:tcPr>
            <w:tcW w:w="885" w:type="dxa"/>
            <w:vAlign w:val="center"/>
          </w:tcPr>
          <w:p>
            <w:pPr>
              <w:pStyle w:val="27"/>
              <w:widowControl/>
              <w:jc w:val="center"/>
              <w:textAlignment w:val="center"/>
            </w:pPr>
            <w: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3912" w:type="dxa"/>
            <w:vAlign w:val="center"/>
          </w:tcPr>
          <w:p>
            <w:pPr>
              <w:pStyle w:val="27"/>
              <w:jc w:val="center"/>
              <w:rPr>
                <w:rFonts w:ascii="仿宋" w:hAnsi="仿宋" w:eastAsia="仿宋"/>
              </w:rPr>
            </w:pPr>
            <w:r>
              <w:rPr>
                <w:rFonts w:hint="eastAsia" w:ascii="仿宋" w:hAnsi="仿宋" w:eastAsia="仿宋"/>
              </w:rPr>
              <w:t>占比</w:t>
            </w:r>
          </w:p>
        </w:tc>
        <w:tc>
          <w:tcPr>
            <w:tcW w:w="954" w:type="dxa"/>
            <w:vAlign w:val="center"/>
          </w:tcPr>
          <w:p>
            <w:pPr>
              <w:pStyle w:val="27"/>
              <w:jc w:val="center"/>
              <w:rPr>
                <w:sz w:val="18"/>
              </w:rPr>
            </w:pPr>
            <w:r>
              <w:rPr>
                <w:rFonts w:hint="eastAsia"/>
                <w:sz w:val="22"/>
                <w:szCs w:val="22"/>
              </w:rPr>
              <w:t>35%</w:t>
            </w:r>
          </w:p>
        </w:tc>
        <w:tc>
          <w:tcPr>
            <w:tcW w:w="941" w:type="dxa"/>
            <w:vAlign w:val="center"/>
          </w:tcPr>
          <w:p>
            <w:pPr>
              <w:pStyle w:val="27"/>
              <w:widowControl/>
              <w:jc w:val="center"/>
              <w:textAlignment w:val="center"/>
              <w:rPr>
                <w:sz w:val="18"/>
              </w:rPr>
            </w:pPr>
            <w:r>
              <w:rPr>
                <w:rFonts w:hint="eastAsia"/>
                <w:sz w:val="22"/>
                <w:szCs w:val="22"/>
              </w:rPr>
              <w:t>40%</w:t>
            </w:r>
          </w:p>
        </w:tc>
        <w:tc>
          <w:tcPr>
            <w:tcW w:w="954" w:type="dxa"/>
            <w:vAlign w:val="center"/>
          </w:tcPr>
          <w:p>
            <w:pPr>
              <w:pStyle w:val="27"/>
              <w:widowControl/>
              <w:jc w:val="center"/>
              <w:textAlignment w:val="center"/>
              <w:rPr>
                <w:sz w:val="18"/>
              </w:rPr>
            </w:pPr>
            <w:r>
              <w:rPr>
                <w:rFonts w:hint="eastAsia"/>
                <w:sz w:val="22"/>
                <w:szCs w:val="22"/>
              </w:rPr>
              <w:t>45%</w:t>
            </w:r>
          </w:p>
        </w:tc>
        <w:tc>
          <w:tcPr>
            <w:tcW w:w="876" w:type="dxa"/>
            <w:vAlign w:val="center"/>
          </w:tcPr>
          <w:p>
            <w:pPr>
              <w:pStyle w:val="27"/>
              <w:widowControl/>
              <w:jc w:val="center"/>
              <w:textAlignment w:val="center"/>
              <w:rPr>
                <w:sz w:val="18"/>
              </w:rPr>
            </w:pPr>
            <w:r>
              <w:rPr>
                <w:rFonts w:hint="eastAsia"/>
                <w:sz w:val="22"/>
                <w:szCs w:val="22"/>
              </w:rPr>
              <w:t>51%</w:t>
            </w:r>
          </w:p>
        </w:tc>
        <w:tc>
          <w:tcPr>
            <w:tcW w:w="885" w:type="dxa"/>
            <w:vAlign w:val="center"/>
          </w:tcPr>
          <w:p>
            <w:pPr>
              <w:pStyle w:val="27"/>
              <w:widowControl/>
              <w:jc w:val="center"/>
              <w:textAlignment w:val="center"/>
              <w:rPr>
                <w:sz w:val="18"/>
              </w:rPr>
            </w:pPr>
            <w:r>
              <w:rPr>
                <w:rFonts w:hint="eastAsia"/>
                <w:sz w:val="22"/>
                <w:szCs w:val="22"/>
              </w:rPr>
              <w:t>59%</w:t>
            </w:r>
          </w:p>
        </w:tc>
      </w:tr>
    </w:tbl>
    <w:p>
      <w:pPr>
        <w:pStyle w:val="26"/>
        <w:spacing w:line="240" w:lineRule="auto"/>
        <w:ind w:firstLine="0"/>
        <w:jc w:val="both"/>
        <w:rPr>
          <w:bCs/>
          <w:sz w:val="22"/>
          <w:szCs w:val="22"/>
        </w:rPr>
      </w:pPr>
    </w:p>
    <w:p>
      <w:pPr>
        <w:pStyle w:val="26"/>
        <w:spacing w:line="240" w:lineRule="auto"/>
        <w:ind w:firstLine="0"/>
        <w:rPr>
          <w:bCs/>
          <w:sz w:val="22"/>
          <w:szCs w:val="22"/>
        </w:rPr>
      </w:pPr>
      <w:r>
        <w:rPr>
          <w:bCs/>
          <w:sz w:val="22"/>
          <w:szCs w:val="22"/>
        </w:rPr>
        <w:drawing>
          <wp:inline distT="0" distB="0" distL="0" distR="0">
            <wp:extent cx="5175250" cy="2000885"/>
            <wp:effectExtent l="0" t="0" r="0" b="0"/>
            <wp:docPr id="52" name="图表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pPr>
        <w:pStyle w:val="26"/>
        <w:spacing w:afterLines="50" w:line="240" w:lineRule="auto"/>
        <w:ind w:firstLine="0"/>
        <w:rPr>
          <w:rFonts w:eastAsia="仿宋_GB2312"/>
          <w:bCs/>
          <w:sz w:val="24"/>
          <w:szCs w:val="24"/>
        </w:rPr>
      </w:pPr>
      <w:r>
        <w:rPr>
          <w:rFonts w:hint="eastAsia" w:eastAsia="仿宋_GB2312"/>
          <w:bCs/>
          <w:sz w:val="24"/>
          <w:szCs w:val="24"/>
        </w:rPr>
        <w:t xml:space="preserve">图18  </w:t>
      </w:r>
      <w:r>
        <w:rPr>
          <w:rFonts w:eastAsia="仿宋_GB2312"/>
          <w:bCs/>
          <w:sz w:val="24"/>
          <w:szCs w:val="24"/>
        </w:rPr>
        <w:t>2021-2025</w:t>
      </w:r>
      <w:r>
        <w:rPr>
          <w:rFonts w:hint="eastAsia" w:eastAsia="仿宋_GB2312"/>
          <w:bCs/>
          <w:sz w:val="24"/>
          <w:szCs w:val="24"/>
        </w:rPr>
        <w:t>年电动出租车推广预测</w:t>
      </w:r>
    </w:p>
    <w:p>
      <w:pPr>
        <w:pStyle w:val="26"/>
        <w:spacing w:beforeLines="50" w:line="240" w:lineRule="auto"/>
        <w:ind w:firstLine="0"/>
        <w:rPr>
          <w:rFonts w:eastAsia="仿宋_GB2312"/>
          <w:bCs/>
          <w:sz w:val="24"/>
          <w:szCs w:val="24"/>
        </w:rPr>
      </w:pPr>
      <w:r>
        <w:rPr>
          <w:rFonts w:hint="eastAsia" w:eastAsia="仿宋_GB2312"/>
          <w:bCs/>
          <w:sz w:val="24"/>
          <w:szCs w:val="24"/>
        </w:rPr>
        <w:t xml:space="preserve">表18  </w:t>
      </w:r>
      <w:r>
        <w:rPr>
          <w:rFonts w:eastAsia="仿宋_GB2312"/>
          <w:bCs/>
          <w:sz w:val="24"/>
          <w:szCs w:val="24"/>
        </w:rPr>
        <w:t>2021-2025</w:t>
      </w:r>
      <w:r>
        <w:rPr>
          <w:rFonts w:hint="eastAsia" w:eastAsia="仿宋_GB2312"/>
          <w:bCs/>
          <w:sz w:val="24"/>
          <w:szCs w:val="24"/>
        </w:rPr>
        <w:t>年电动客运班车、旅游客车推广预测</w:t>
      </w:r>
    </w:p>
    <w:tbl>
      <w:tblPr>
        <w:tblStyle w:val="17"/>
        <w:tblW w:w="852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912"/>
        <w:gridCol w:w="954"/>
        <w:gridCol w:w="941"/>
        <w:gridCol w:w="954"/>
        <w:gridCol w:w="888"/>
        <w:gridCol w:w="8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jc w:val="center"/>
        </w:trPr>
        <w:tc>
          <w:tcPr>
            <w:tcW w:w="3912" w:type="dxa"/>
            <w:vAlign w:val="center"/>
          </w:tcPr>
          <w:p>
            <w:pPr>
              <w:pStyle w:val="27"/>
              <w:jc w:val="center"/>
              <w:rPr>
                <w:rFonts w:ascii="仿宋" w:hAnsi="仿宋" w:eastAsia="仿宋"/>
              </w:rPr>
            </w:pPr>
            <w:r>
              <w:rPr>
                <w:rFonts w:hint="eastAsia" w:ascii="仿宋" w:hAnsi="仿宋" w:eastAsia="仿宋"/>
              </w:rPr>
              <w:t>年份</w:t>
            </w:r>
          </w:p>
        </w:tc>
        <w:tc>
          <w:tcPr>
            <w:tcW w:w="954" w:type="dxa"/>
            <w:vAlign w:val="center"/>
          </w:tcPr>
          <w:p>
            <w:pPr>
              <w:pStyle w:val="27"/>
              <w:jc w:val="center"/>
            </w:pPr>
            <w:r>
              <w:rPr>
                <w:rFonts w:hint="eastAsia"/>
              </w:rPr>
              <w:t>2021</w:t>
            </w:r>
          </w:p>
        </w:tc>
        <w:tc>
          <w:tcPr>
            <w:tcW w:w="941" w:type="dxa"/>
            <w:vAlign w:val="center"/>
          </w:tcPr>
          <w:p>
            <w:pPr>
              <w:pStyle w:val="27"/>
              <w:jc w:val="center"/>
            </w:pPr>
            <w:r>
              <w:rPr>
                <w:rFonts w:hint="eastAsia"/>
              </w:rPr>
              <w:t>2022</w:t>
            </w:r>
          </w:p>
        </w:tc>
        <w:tc>
          <w:tcPr>
            <w:tcW w:w="954" w:type="dxa"/>
            <w:vAlign w:val="center"/>
          </w:tcPr>
          <w:p>
            <w:pPr>
              <w:pStyle w:val="27"/>
              <w:jc w:val="center"/>
            </w:pPr>
            <w:r>
              <w:rPr>
                <w:rFonts w:hint="eastAsia"/>
              </w:rPr>
              <w:t>2023</w:t>
            </w:r>
          </w:p>
        </w:tc>
        <w:tc>
          <w:tcPr>
            <w:tcW w:w="888" w:type="dxa"/>
            <w:vAlign w:val="center"/>
          </w:tcPr>
          <w:p>
            <w:pPr>
              <w:pStyle w:val="27"/>
              <w:jc w:val="center"/>
            </w:pPr>
            <w:r>
              <w:rPr>
                <w:rFonts w:hint="eastAsia"/>
              </w:rPr>
              <w:t>2024</w:t>
            </w:r>
          </w:p>
        </w:tc>
        <w:tc>
          <w:tcPr>
            <w:tcW w:w="873" w:type="dxa"/>
            <w:vAlign w:val="center"/>
          </w:tcPr>
          <w:p>
            <w:pPr>
              <w:pStyle w:val="27"/>
              <w:jc w:val="center"/>
            </w:pPr>
            <w:r>
              <w:rPr>
                <w:rFonts w:hint="eastAsia"/>
              </w:rPr>
              <w:t>2025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jc w:val="center"/>
        </w:trPr>
        <w:tc>
          <w:tcPr>
            <w:tcW w:w="3912" w:type="dxa"/>
            <w:vAlign w:val="center"/>
          </w:tcPr>
          <w:p>
            <w:pPr>
              <w:pStyle w:val="27"/>
              <w:jc w:val="center"/>
              <w:rPr>
                <w:rFonts w:ascii="仿宋" w:hAnsi="仿宋" w:eastAsia="仿宋"/>
              </w:rPr>
            </w:pPr>
            <w:r>
              <w:rPr>
                <w:rFonts w:hint="eastAsia" w:ascii="仿宋" w:hAnsi="仿宋" w:eastAsia="仿宋"/>
              </w:rPr>
              <w:t>客运班车、旅游客车总保有量预计（万辆）</w:t>
            </w:r>
          </w:p>
        </w:tc>
        <w:tc>
          <w:tcPr>
            <w:tcW w:w="954" w:type="dxa"/>
            <w:vAlign w:val="center"/>
          </w:tcPr>
          <w:p>
            <w:pPr>
              <w:pStyle w:val="27"/>
              <w:jc w:val="center"/>
            </w:pPr>
            <w:r>
              <w:rPr>
                <w:rFonts w:hint="eastAsia"/>
              </w:rPr>
              <w:t>2.1</w:t>
            </w:r>
          </w:p>
        </w:tc>
        <w:tc>
          <w:tcPr>
            <w:tcW w:w="941" w:type="dxa"/>
            <w:vAlign w:val="center"/>
          </w:tcPr>
          <w:p>
            <w:pPr>
              <w:pStyle w:val="27"/>
              <w:jc w:val="center"/>
            </w:pPr>
            <w:r>
              <w:rPr>
                <w:rFonts w:hint="eastAsia"/>
              </w:rPr>
              <w:t>2.2</w:t>
            </w:r>
          </w:p>
        </w:tc>
        <w:tc>
          <w:tcPr>
            <w:tcW w:w="954" w:type="dxa"/>
            <w:vAlign w:val="center"/>
          </w:tcPr>
          <w:p>
            <w:pPr>
              <w:pStyle w:val="27"/>
              <w:jc w:val="center"/>
            </w:pPr>
            <w:r>
              <w:rPr>
                <w:rFonts w:hint="eastAsia"/>
              </w:rPr>
              <w:t>2.3</w:t>
            </w:r>
          </w:p>
        </w:tc>
        <w:tc>
          <w:tcPr>
            <w:tcW w:w="888" w:type="dxa"/>
            <w:vAlign w:val="center"/>
          </w:tcPr>
          <w:p>
            <w:pPr>
              <w:pStyle w:val="27"/>
              <w:jc w:val="center"/>
            </w:pPr>
            <w:r>
              <w:rPr>
                <w:rFonts w:hint="eastAsia"/>
              </w:rPr>
              <w:t>2.4</w:t>
            </w:r>
          </w:p>
        </w:tc>
        <w:tc>
          <w:tcPr>
            <w:tcW w:w="873" w:type="dxa"/>
            <w:vAlign w:val="center"/>
          </w:tcPr>
          <w:p>
            <w:pPr>
              <w:pStyle w:val="27"/>
              <w:jc w:val="center"/>
            </w:pPr>
            <w:r>
              <w:rPr>
                <w:rFonts w:hint="eastAsia"/>
              </w:rPr>
              <w:t>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jc w:val="center"/>
        </w:trPr>
        <w:tc>
          <w:tcPr>
            <w:tcW w:w="3912" w:type="dxa"/>
            <w:vAlign w:val="center"/>
          </w:tcPr>
          <w:p>
            <w:pPr>
              <w:pStyle w:val="27"/>
              <w:jc w:val="center"/>
              <w:rPr>
                <w:rFonts w:ascii="仿宋" w:hAnsi="仿宋" w:eastAsia="仿宋"/>
              </w:rPr>
            </w:pPr>
            <w:r>
              <w:rPr>
                <w:rFonts w:hint="eastAsia" w:ascii="仿宋" w:hAnsi="仿宋" w:eastAsia="仿宋"/>
              </w:rPr>
              <w:t>电动客运班车、旅游客车保有量</w:t>
            </w:r>
            <w:r>
              <w:rPr>
                <w:rFonts w:ascii="仿宋" w:hAnsi="仿宋" w:eastAsia="仿宋"/>
              </w:rPr>
              <w:t>(</w:t>
            </w:r>
            <w:r>
              <w:rPr>
                <w:rFonts w:hint="eastAsia" w:ascii="仿宋" w:hAnsi="仿宋" w:eastAsia="仿宋"/>
              </w:rPr>
              <w:t>万辆</w:t>
            </w:r>
            <w:r>
              <w:rPr>
                <w:rFonts w:ascii="仿宋" w:hAnsi="仿宋" w:eastAsia="仿宋"/>
              </w:rPr>
              <w:t>)</w:t>
            </w:r>
          </w:p>
        </w:tc>
        <w:tc>
          <w:tcPr>
            <w:tcW w:w="954" w:type="dxa"/>
            <w:vAlign w:val="center"/>
          </w:tcPr>
          <w:p>
            <w:pPr>
              <w:pStyle w:val="27"/>
              <w:jc w:val="center"/>
            </w:pPr>
            <w:r>
              <w:rPr>
                <w:rFonts w:hint="eastAsia"/>
              </w:rPr>
              <w:t>0.05</w:t>
            </w:r>
          </w:p>
        </w:tc>
        <w:tc>
          <w:tcPr>
            <w:tcW w:w="941" w:type="dxa"/>
            <w:vAlign w:val="center"/>
          </w:tcPr>
          <w:p>
            <w:pPr>
              <w:pStyle w:val="27"/>
              <w:jc w:val="center"/>
            </w:pPr>
            <w:r>
              <w:rPr>
                <w:rFonts w:hint="eastAsia"/>
              </w:rPr>
              <w:t>0.15</w:t>
            </w:r>
          </w:p>
        </w:tc>
        <w:tc>
          <w:tcPr>
            <w:tcW w:w="954" w:type="dxa"/>
            <w:vAlign w:val="center"/>
          </w:tcPr>
          <w:p>
            <w:pPr>
              <w:pStyle w:val="27"/>
              <w:jc w:val="center"/>
            </w:pPr>
            <w:r>
              <w:rPr>
                <w:rFonts w:hint="eastAsia"/>
              </w:rPr>
              <w:t>0.3</w:t>
            </w:r>
          </w:p>
        </w:tc>
        <w:tc>
          <w:tcPr>
            <w:tcW w:w="888" w:type="dxa"/>
            <w:vAlign w:val="center"/>
          </w:tcPr>
          <w:p>
            <w:pPr>
              <w:pStyle w:val="27"/>
              <w:jc w:val="center"/>
            </w:pPr>
            <w:r>
              <w:rPr>
                <w:rFonts w:hint="eastAsia"/>
              </w:rPr>
              <w:t>0.45</w:t>
            </w:r>
          </w:p>
        </w:tc>
        <w:tc>
          <w:tcPr>
            <w:tcW w:w="873" w:type="dxa"/>
            <w:vAlign w:val="center"/>
          </w:tcPr>
          <w:p>
            <w:pPr>
              <w:pStyle w:val="27"/>
              <w:jc w:val="center"/>
            </w:pPr>
            <w:r>
              <w:rPr>
                <w:rFonts w:hint="eastAsia"/>
              </w:rPr>
              <w:t>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jc w:val="center"/>
        </w:trPr>
        <w:tc>
          <w:tcPr>
            <w:tcW w:w="3912" w:type="dxa"/>
            <w:vAlign w:val="center"/>
          </w:tcPr>
          <w:p>
            <w:pPr>
              <w:pStyle w:val="27"/>
              <w:jc w:val="center"/>
              <w:rPr>
                <w:rFonts w:ascii="仿宋" w:hAnsi="仿宋" w:eastAsia="仿宋"/>
              </w:rPr>
            </w:pPr>
            <w:r>
              <w:rPr>
                <w:rFonts w:hint="eastAsia" w:ascii="仿宋" w:hAnsi="仿宋" w:eastAsia="仿宋"/>
              </w:rPr>
              <w:t>占比</w:t>
            </w:r>
          </w:p>
        </w:tc>
        <w:tc>
          <w:tcPr>
            <w:tcW w:w="954" w:type="dxa"/>
            <w:vAlign w:val="center"/>
          </w:tcPr>
          <w:p>
            <w:pPr>
              <w:pStyle w:val="27"/>
              <w:jc w:val="center"/>
            </w:pPr>
            <w:r>
              <w:rPr>
                <w:rFonts w:hint="eastAsia"/>
                <w:sz w:val="22"/>
                <w:szCs w:val="22"/>
              </w:rPr>
              <w:t>3%</w:t>
            </w:r>
          </w:p>
        </w:tc>
        <w:tc>
          <w:tcPr>
            <w:tcW w:w="941" w:type="dxa"/>
            <w:vAlign w:val="center"/>
          </w:tcPr>
          <w:p>
            <w:pPr>
              <w:pStyle w:val="27"/>
              <w:jc w:val="center"/>
            </w:pPr>
            <w:r>
              <w:rPr>
                <w:rFonts w:hint="eastAsia"/>
                <w:sz w:val="22"/>
                <w:szCs w:val="22"/>
              </w:rPr>
              <w:t>7%</w:t>
            </w:r>
          </w:p>
        </w:tc>
        <w:tc>
          <w:tcPr>
            <w:tcW w:w="954" w:type="dxa"/>
            <w:vAlign w:val="center"/>
          </w:tcPr>
          <w:p>
            <w:pPr>
              <w:pStyle w:val="27"/>
              <w:jc w:val="center"/>
            </w:pPr>
            <w:r>
              <w:rPr>
                <w:rFonts w:hint="eastAsia"/>
                <w:sz w:val="22"/>
                <w:szCs w:val="22"/>
              </w:rPr>
              <w:t>13%</w:t>
            </w:r>
          </w:p>
        </w:tc>
        <w:tc>
          <w:tcPr>
            <w:tcW w:w="888" w:type="dxa"/>
            <w:vAlign w:val="center"/>
          </w:tcPr>
          <w:p>
            <w:pPr>
              <w:pStyle w:val="27"/>
              <w:jc w:val="center"/>
            </w:pPr>
            <w:r>
              <w:rPr>
                <w:rFonts w:hint="eastAsia"/>
                <w:sz w:val="22"/>
                <w:szCs w:val="22"/>
              </w:rPr>
              <w:t>18%</w:t>
            </w:r>
          </w:p>
        </w:tc>
        <w:tc>
          <w:tcPr>
            <w:tcW w:w="873" w:type="dxa"/>
            <w:vAlign w:val="center"/>
          </w:tcPr>
          <w:p>
            <w:pPr>
              <w:pStyle w:val="27"/>
              <w:jc w:val="center"/>
            </w:pPr>
            <w:r>
              <w:rPr>
                <w:rFonts w:hint="eastAsia"/>
                <w:sz w:val="22"/>
                <w:szCs w:val="22"/>
              </w:rPr>
              <w:t>24%</w:t>
            </w:r>
          </w:p>
        </w:tc>
      </w:tr>
    </w:tbl>
    <w:p>
      <w:pPr>
        <w:pStyle w:val="26"/>
        <w:spacing w:line="240" w:lineRule="auto"/>
        <w:ind w:firstLine="0"/>
        <w:rPr>
          <w:bCs/>
          <w:sz w:val="22"/>
          <w:szCs w:val="22"/>
        </w:rPr>
      </w:pPr>
    </w:p>
    <w:p>
      <w:pPr>
        <w:pStyle w:val="26"/>
        <w:spacing w:line="240" w:lineRule="auto"/>
        <w:ind w:firstLine="0"/>
        <w:rPr>
          <w:bCs/>
          <w:sz w:val="22"/>
          <w:szCs w:val="22"/>
        </w:rPr>
      </w:pPr>
      <w:r>
        <w:rPr>
          <w:bCs/>
          <w:sz w:val="22"/>
          <w:szCs w:val="22"/>
        </w:rPr>
        <w:drawing>
          <wp:inline distT="0" distB="0" distL="0" distR="0">
            <wp:extent cx="5271135" cy="2345055"/>
            <wp:effectExtent l="0" t="0" r="0" b="0"/>
            <wp:docPr id="53" name="图表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pPr>
        <w:pStyle w:val="26"/>
        <w:spacing w:afterLines="50" w:line="240" w:lineRule="auto"/>
        <w:ind w:firstLine="0"/>
        <w:rPr>
          <w:rFonts w:eastAsia="仿宋_GB2312"/>
          <w:bCs/>
          <w:sz w:val="24"/>
          <w:szCs w:val="24"/>
        </w:rPr>
      </w:pPr>
      <w:r>
        <w:rPr>
          <w:rFonts w:hint="eastAsia" w:eastAsia="仿宋_GB2312"/>
          <w:bCs/>
          <w:sz w:val="24"/>
          <w:szCs w:val="24"/>
        </w:rPr>
        <w:t xml:space="preserve">图19  </w:t>
      </w:r>
      <w:r>
        <w:rPr>
          <w:rFonts w:eastAsia="仿宋_GB2312"/>
          <w:bCs/>
          <w:sz w:val="24"/>
          <w:szCs w:val="24"/>
        </w:rPr>
        <w:t>2021-2025</w:t>
      </w:r>
      <w:r>
        <w:rPr>
          <w:rFonts w:hint="eastAsia" w:eastAsia="仿宋_GB2312"/>
          <w:bCs/>
          <w:sz w:val="24"/>
          <w:szCs w:val="24"/>
        </w:rPr>
        <w:t>年电动客运班车、旅游客车推广预测</w:t>
      </w:r>
    </w:p>
    <w:p>
      <w:pPr>
        <w:pStyle w:val="26"/>
        <w:spacing w:beforeLines="50" w:line="240" w:lineRule="auto"/>
        <w:ind w:firstLine="0"/>
        <w:rPr>
          <w:rFonts w:eastAsia="仿宋_GB2312"/>
          <w:bCs/>
          <w:sz w:val="24"/>
          <w:szCs w:val="24"/>
        </w:rPr>
      </w:pPr>
      <w:r>
        <w:rPr>
          <w:rFonts w:hint="eastAsia" w:eastAsia="仿宋_GB2312"/>
          <w:bCs/>
          <w:sz w:val="24"/>
          <w:szCs w:val="24"/>
        </w:rPr>
        <w:t xml:space="preserve">表19  </w:t>
      </w:r>
      <w:r>
        <w:rPr>
          <w:rFonts w:eastAsia="仿宋_GB2312"/>
          <w:bCs/>
          <w:sz w:val="24"/>
          <w:szCs w:val="24"/>
        </w:rPr>
        <w:t>2021</w:t>
      </w:r>
      <w:r>
        <w:rPr>
          <w:rFonts w:hint="eastAsia" w:eastAsia="仿宋_GB2312"/>
          <w:bCs/>
          <w:sz w:val="24"/>
          <w:szCs w:val="24"/>
        </w:rPr>
        <w:t>-</w:t>
      </w:r>
      <w:r>
        <w:rPr>
          <w:rFonts w:eastAsia="仿宋_GB2312"/>
          <w:bCs/>
          <w:sz w:val="24"/>
          <w:szCs w:val="24"/>
        </w:rPr>
        <w:t>2025</w:t>
      </w:r>
      <w:r>
        <w:rPr>
          <w:rFonts w:hint="eastAsia" w:eastAsia="仿宋_GB2312"/>
          <w:bCs/>
          <w:sz w:val="24"/>
          <w:szCs w:val="24"/>
        </w:rPr>
        <w:t>年电动网约车推广预测</w:t>
      </w:r>
    </w:p>
    <w:tbl>
      <w:tblPr>
        <w:tblStyle w:val="17"/>
        <w:tblW w:w="852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544"/>
        <w:gridCol w:w="1101"/>
        <w:gridCol w:w="944"/>
        <w:gridCol w:w="983"/>
        <w:gridCol w:w="997"/>
        <w:gridCol w:w="95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jc w:val="center"/>
        </w:trPr>
        <w:tc>
          <w:tcPr>
            <w:tcW w:w="3544" w:type="dxa"/>
            <w:vAlign w:val="center"/>
          </w:tcPr>
          <w:p>
            <w:pPr>
              <w:pStyle w:val="27"/>
              <w:jc w:val="center"/>
              <w:rPr>
                <w:rFonts w:ascii="仿宋" w:hAnsi="仿宋" w:eastAsia="仿宋"/>
              </w:rPr>
            </w:pPr>
            <w:r>
              <w:rPr>
                <w:rFonts w:hint="eastAsia" w:ascii="仿宋" w:hAnsi="仿宋" w:eastAsia="仿宋"/>
              </w:rPr>
              <w:t>年份</w:t>
            </w:r>
          </w:p>
        </w:tc>
        <w:tc>
          <w:tcPr>
            <w:tcW w:w="1101" w:type="dxa"/>
            <w:vAlign w:val="center"/>
          </w:tcPr>
          <w:p>
            <w:pPr>
              <w:pStyle w:val="27"/>
              <w:jc w:val="center"/>
            </w:pPr>
            <w:r>
              <w:rPr>
                <w:rFonts w:hint="eastAsia"/>
              </w:rPr>
              <w:t>2021</w:t>
            </w:r>
          </w:p>
        </w:tc>
        <w:tc>
          <w:tcPr>
            <w:tcW w:w="944" w:type="dxa"/>
            <w:vAlign w:val="center"/>
          </w:tcPr>
          <w:p>
            <w:pPr>
              <w:pStyle w:val="27"/>
              <w:jc w:val="center"/>
            </w:pPr>
            <w:r>
              <w:rPr>
                <w:rFonts w:hint="eastAsia"/>
              </w:rPr>
              <w:t>2022</w:t>
            </w:r>
          </w:p>
        </w:tc>
        <w:tc>
          <w:tcPr>
            <w:tcW w:w="983" w:type="dxa"/>
            <w:vAlign w:val="center"/>
          </w:tcPr>
          <w:p>
            <w:pPr>
              <w:pStyle w:val="27"/>
              <w:jc w:val="center"/>
            </w:pPr>
            <w:r>
              <w:rPr>
                <w:rFonts w:hint="eastAsia"/>
              </w:rPr>
              <w:t>2023</w:t>
            </w:r>
          </w:p>
        </w:tc>
        <w:tc>
          <w:tcPr>
            <w:tcW w:w="997" w:type="dxa"/>
            <w:vAlign w:val="center"/>
          </w:tcPr>
          <w:p>
            <w:pPr>
              <w:pStyle w:val="27"/>
              <w:jc w:val="center"/>
            </w:pPr>
            <w:r>
              <w:rPr>
                <w:rFonts w:hint="eastAsia"/>
              </w:rPr>
              <w:t>2024</w:t>
            </w:r>
          </w:p>
        </w:tc>
        <w:tc>
          <w:tcPr>
            <w:tcW w:w="953" w:type="dxa"/>
            <w:vAlign w:val="center"/>
          </w:tcPr>
          <w:p>
            <w:pPr>
              <w:pStyle w:val="27"/>
              <w:jc w:val="center"/>
            </w:pPr>
            <w:r>
              <w:rPr>
                <w:rFonts w:hint="eastAsia"/>
              </w:rPr>
              <w:t>2025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jc w:val="center"/>
        </w:trPr>
        <w:tc>
          <w:tcPr>
            <w:tcW w:w="3544" w:type="dxa"/>
            <w:vAlign w:val="center"/>
          </w:tcPr>
          <w:p>
            <w:pPr>
              <w:pStyle w:val="27"/>
              <w:jc w:val="center"/>
              <w:rPr>
                <w:rFonts w:ascii="仿宋" w:hAnsi="仿宋" w:eastAsia="仿宋"/>
              </w:rPr>
            </w:pPr>
            <w:r>
              <w:rPr>
                <w:rFonts w:hint="eastAsia" w:ascii="仿宋" w:hAnsi="仿宋" w:eastAsia="仿宋"/>
              </w:rPr>
              <w:t>网约出租车总保有量预计（万辆）</w:t>
            </w:r>
          </w:p>
        </w:tc>
        <w:tc>
          <w:tcPr>
            <w:tcW w:w="1101" w:type="dxa"/>
            <w:vAlign w:val="center"/>
          </w:tcPr>
          <w:p>
            <w:pPr>
              <w:pStyle w:val="27"/>
              <w:jc w:val="center"/>
            </w:pPr>
            <w:r>
              <w:rPr>
                <w:rFonts w:hint="eastAsia"/>
              </w:rPr>
              <w:t>3.2</w:t>
            </w:r>
          </w:p>
        </w:tc>
        <w:tc>
          <w:tcPr>
            <w:tcW w:w="944" w:type="dxa"/>
            <w:vAlign w:val="center"/>
          </w:tcPr>
          <w:p>
            <w:pPr>
              <w:pStyle w:val="27"/>
              <w:jc w:val="center"/>
            </w:pPr>
            <w:r>
              <w:rPr>
                <w:rFonts w:hint="eastAsia"/>
              </w:rPr>
              <w:t>3.4</w:t>
            </w:r>
          </w:p>
        </w:tc>
        <w:tc>
          <w:tcPr>
            <w:tcW w:w="983" w:type="dxa"/>
            <w:vAlign w:val="center"/>
          </w:tcPr>
          <w:p>
            <w:pPr>
              <w:pStyle w:val="27"/>
              <w:jc w:val="center"/>
            </w:pPr>
            <w:r>
              <w:rPr>
                <w:rFonts w:hint="eastAsia"/>
              </w:rPr>
              <w:t>3.7</w:t>
            </w:r>
          </w:p>
        </w:tc>
        <w:tc>
          <w:tcPr>
            <w:tcW w:w="997" w:type="dxa"/>
            <w:vAlign w:val="center"/>
          </w:tcPr>
          <w:p>
            <w:pPr>
              <w:pStyle w:val="27"/>
              <w:jc w:val="center"/>
            </w:pPr>
            <w:r>
              <w:rPr>
                <w:rFonts w:hint="eastAsia"/>
              </w:rPr>
              <w:t>4.0</w:t>
            </w:r>
          </w:p>
        </w:tc>
        <w:tc>
          <w:tcPr>
            <w:tcW w:w="953" w:type="dxa"/>
            <w:vAlign w:val="center"/>
          </w:tcPr>
          <w:p>
            <w:pPr>
              <w:pStyle w:val="27"/>
              <w:jc w:val="center"/>
            </w:pPr>
            <w:r>
              <w:rPr>
                <w:rFonts w:hint="eastAsia"/>
              </w:rPr>
              <w:t>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jc w:val="center"/>
        </w:trPr>
        <w:tc>
          <w:tcPr>
            <w:tcW w:w="3544" w:type="dxa"/>
            <w:vAlign w:val="center"/>
          </w:tcPr>
          <w:p>
            <w:pPr>
              <w:pStyle w:val="27"/>
              <w:jc w:val="center"/>
              <w:rPr>
                <w:rFonts w:ascii="仿宋" w:hAnsi="仿宋" w:eastAsia="仿宋"/>
              </w:rPr>
            </w:pPr>
            <w:r>
              <w:rPr>
                <w:rFonts w:hint="eastAsia" w:ascii="仿宋" w:hAnsi="仿宋" w:eastAsia="仿宋"/>
              </w:rPr>
              <w:t>电动网约出租车保有量</w:t>
            </w:r>
            <w:r>
              <w:rPr>
                <w:rFonts w:ascii="仿宋" w:hAnsi="仿宋" w:eastAsia="仿宋"/>
              </w:rPr>
              <w:t>(</w:t>
            </w:r>
            <w:r>
              <w:rPr>
                <w:rFonts w:hint="eastAsia" w:ascii="仿宋" w:hAnsi="仿宋" w:eastAsia="仿宋"/>
              </w:rPr>
              <w:t>万辆</w:t>
            </w:r>
            <w:r>
              <w:rPr>
                <w:rFonts w:ascii="仿宋" w:hAnsi="仿宋" w:eastAsia="仿宋"/>
              </w:rPr>
              <w:t>)</w:t>
            </w:r>
          </w:p>
        </w:tc>
        <w:tc>
          <w:tcPr>
            <w:tcW w:w="1101" w:type="dxa"/>
            <w:vAlign w:val="center"/>
          </w:tcPr>
          <w:p>
            <w:pPr>
              <w:pStyle w:val="27"/>
              <w:jc w:val="center"/>
            </w:pPr>
            <w:r>
              <w:t>2</w:t>
            </w:r>
          </w:p>
        </w:tc>
        <w:tc>
          <w:tcPr>
            <w:tcW w:w="944" w:type="dxa"/>
            <w:vAlign w:val="center"/>
          </w:tcPr>
          <w:p>
            <w:pPr>
              <w:pStyle w:val="27"/>
              <w:jc w:val="center"/>
            </w:pPr>
            <w:r>
              <w:t>2.2</w:t>
            </w:r>
          </w:p>
        </w:tc>
        <w:tc>
          <w:tcPr>
            <w:tcW w:w="983" w:type="dxa"/>
            <w:vAlign w:val="center"/>
          </w:tcPr>
          <w:p>
            <w:pPr>
              <w:pStyle w:val="27"/>
              <w:jc w:val="center"/>
            </w:pPr>
            <w:r>
              <w:t>2.4</w:t>
            </w:r>
          </w:p>
        </w:tc>
        <w:tc>
          <w:tcPr>
            <w:tcW w:w="997" w:type="dxa"/>
            <w:vAlign w:val="center"/>
          </w:tcPr>
          <w:p>
            <w:pPr>
              <w:pStyle w:val="27"/>
              <w:jc w:val="center"/>
            </w:pPr>
            <w:r>
              <w:t>2.7</w:t>
            </w:r>
          </w:p>
        </w:tc>
        <w:tc>
          <w:tcPr>
            <w:tcW w:w="953" w:type="dxa"/>
            <w:vAlign w:val="center"/>
          </w:tcPr>
          <w:p>
            <w:pPr>
              <w:pStyle w:val="27"/>
              <w:jc w:val="center"/>
            </w:pPr>
            <w: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jc w:val="center"/>
        </w:trPr>
        <w:tc>
          <w:tcPr>
            <w:tcW w:w="3544" w:type="dxa"/>
            <w:vAlign w:val="center"/>
          </w:tcPr>
          <w:p>
            <w:pPr>
              <w:pStyle w:val="27"/>
              <w:jc w:val="center"/>
              <w:rPr>
                <w:rFonts w:ascii="仿宋" w:hAnsi="仿宋" w:eastAsia="仿宋"/>
              </w:rPr>
            </w:pPr>
            <w:r>
              <w:rPr>
                <w:rFonts w:hint="eastAsia" w:ascii="仿宋" w:hAnsi="仿宋" w:eastAsia="仿宋"/>
              </w:rPr>
              <w:t>占比</w:t>
            </w:r>
          </w:p>
        </w:tc>
        <w:tc>
          <w:tcPr>
            <w:tcW w:w="1101" w:type="dxa"/>
            <w:vAlign w:val="center"/>
          </w:tcPr>
          <w:p>
            <w:pPr>
              <w:pStyle w:val="27"/>
              <w:jc w:val="center"/>
            </w:pPr>
            <w:r>
              <w:rPr>
                <w:rFonts w:hint="eastAsia"/>
                <w:sz w:val="22"/>
                <w:szCs w:val="22"/>
              </w:rPr>
              <w:t>62.5%</w:t>
            </w:r>
          </w:p>
        </w:tc>
        <w:tc>
          <w:tcPr>
            <w:tcW w:w="944" w:type="dxa"/>
            <w:vAlign w:val="center"/>
          </w:tcPr>
          <w:p>
            <w:pPr>
              <w:pStyle w:val="27"/>
              <w:jc w:val="center"/>
            </w:pPr>
            <w:r>
              <w:rPr>
                <w:rFonts w:hint="eastAsia"/>
                <w:sz w:val="22"/>
                <w:szCs w:val="22"/>
              </w:rPr>
              <w:t>65%</w:t>
            </w:r>
          </w:p>
        </w:tc>
        <w:tc>
          <w:tcPr>
            <w:tcW w:w="983" w:type="dxa"/>
            <w:vAlign w:val="center"/>
          </w:tcPr>
          <w:p>
            <w:pPr>
              <w:pStyle w:val="27"/>
              <w:jc w:val="center"/>
            </w:pPr>
            <w:r>
              <w:rPr>
                <w:rFonts w:hint="eastAsia"/>
                <w:sz w:val="22"/>
                <w:szCs w:val="22"/>
              </w:rPr>
              <w:t>65%</w:t>
            </w:r>
          </w:p>
        </w:tc>
        <w:tc>
          <w:tcPr>
            <w:tcW w:w="997" w:type="dxa"/>
            <w:vAlign w:val="center"/>
          </w:tcPr>
          <w:p>
            <w:pPr>
              <w:pStyle w:val="27"/>
              <w:jc w:val="center"/>
            </w:pPr>
            <w:r>
              <w:rPr>
                <w:rFonts w:hint="eastAsia"/>
                <w:sz w:val="22"/>
                <w:szCs w:val="22"/>
              </w:rPr>
              <w:t>67%</w:t>
            </w:r>
          </w:p>
        </w:tc>
        <w:tc>
          <w:tcPr>
            <w:tcW w:w="953" w:type="dxa"/>
            <w:vAlign w:val="center"/>
          </w:tcPr>
          <w:p>
            <w:pPr>
              <w:pStyle w:val="27"/>
              <w:jc w:val="center"/>
            </w:pPr>
            <w:r>
              <w:rPr>
                <w:rFonts w:hint="eastAsia"/>
                <w:sz w:val="22"/>
                <w:szCs w:val="22"/>
              </w:rPr>
              <w:t>67%</w:t>
            </w:r>
          </w:p>
        </w:tc>
      </w:tr>
    </w:tbl>
    <w:p>
      <w:pPr>
        <w:pStyle w:val="26"/>
        <w:spacing w:line="240" w:lineRule="auto"/>
        <w:ind w:firstLine="0"/>
        <w:rPr>
          <w:bCs/>
          <w:sz w:val="22"/>
          <w:szCs w:val="22"/>
        </w:rPr>
      </w:pPr>
      <w:r>
        <w:rPr>
          <w:bCs/>
          <w:sz w:val="22"/>
          <w:szCs w:val="22"/>
        </w:rPr>
        <w:drawing>
          <wp:inline distT="0" distB="0" distL="0" distR="0">
            <wp:extent cx="4916805" cy="1578610"/>
            <wp:effectExtent l="0" t="0" r="0" b="0"/>
            <wp:docPr id="54" name="图表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pPr>
        <w:pStyle w:val="26"/>
        <w:spacing w:afterLines="50" w:line="240" w:lineRule="auto"/>
        <w:ind w:firstLine="0"/>
        <w:rPr>
          <w:rFonts w:eastAsia="仿宋_GB2312"/>
          <w:bCs/>
          <w:sz w:val="24"/>
          <w:szCs w:val="24"/>
        </w:rPr>
      </w:pPr>
      <w:r>
        <w:rPr>
          <w:rFonts w:hint="eastAsia" w:eastAsia="仿宋_GB2312"/>
          <w:bCs/>
          <w:sz w:val="24"/>
          <w:szCs w:val="24"/>
        </w:rPr>
        <w:t xml:space="preserve">图20  </w:t>
      </w:r>
      <w:r>
        <w:rPr>
          <w:rFonts w:eastAsia="仿宋_GB2312"/>
          <w:bCs/>
          <w:sz w:val="24"/>
          <w:szCs w:val="24"/>
        </w:rPr>
        <w:t>2021</w:t>
      </w:r>
      <w:r>
        <w:rPr>
          <w:rFonts w:hint="eastAsia" w:eastAsia="仿宋_GB2312"/>
          <w:bCs/>
          <w:sz w:val="24"/>
          <w:szCs w:val="24"/>
        </w:rPr>
        <w:t>-</w:t>
      </w:r>
      <w:r>
        <w:rPr>
          <w:rFonts w:eastAsia="仿宋_GB2312"/>
          <w:bCs/>
          <w:sz w:val="24"/>
          <w:szCs w:val="24"/>
        </w:rPr>
        <w:t>2025</w:t>
      </w:r>
      <w:r>
        <w:rPr>
          <w:rFonts w:hint="eastAsia" w:eastAsia="仿宋_GB2312"/>
          <w:bCs/>
          <w:sz w:val="24"/>
          <w:szCs w:val="24"/>
        </w:rPr>
        <w:t>年电动网约车推广预测</w:t>
      </w:r>
    </w:p>
    <w:p>
      <w:pPr>
        <w:pStyle w:val="26"/>
        <w:spacing w:beforeLines="50" w:line="580" w:lineRule="exact"/>
        <w:ind w:firstLine="0"/>
        <w:rPr>
          <w:rFonts w:eastAsia="仿宋_GB2312"/>
          <w:bCs/>
          <w:sz w:val="24"/>
          <w:szCs w:val="24"/>
        </w:rPr>
      </w:pPr>
      <w:r>
        <w:rPr>
          <w:rFonts w:hint="eastAsia" w:eastAsia="仿宋_GB2312"/>
          <w:bCs/>
          <w:sz w:val="24"/>
          <w:szCs w:val="24"/>
        </w:rPr>
        <w:t xml:space="preserve">表20  </w:t>
      </w:r>
      <w:r>
        <w:rPr>
          <w:rFonts w:eastAsia="仿宋_GB2312"/>
          <w:bCs/>
          <w:sz w:val="24"/>
          <w:szCs w:val="24"/>
        </w:rPr>
        <w:t>2021-2025</w:t>
      </w:r>
      <w:r>
        <w:rPr>
          <w:rFonts w:hint="eastAsia" w:eastAsia="仿宋_GB2312"/>
          <w:bCs/>
          <w:sz w:val="24"/>
          <w:szCs w:val="24"/>
        </w:rPr>
        <w:t>年电动物流车推广预测</w:t>
      </w:r>
    </w:p>
    <w:tbl>
      <w:tblPr>
        <w:tblStyle w:val="17"/>
        <w:tblW w:w="852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568"/>
        <w:gridCol w:w="1191"/>
        <w:gridCol w:w="1045"/>
        <w:gridCol w:w="954"/>
        <w:gridCol w:w="810"/>
        <w:gridCol w:w="9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jc w:val="center"/>
        </w:trPr>
        <w:tc>
          <w:tcPr>
            <w:tcW w:w="3568" w:type="dxa"/>
            <w:vAlign w:val="center"/>
          </w:tcPr>
          <w:p>
            <w:pPr>
              <w:pStyle w:val="27"/>
              <w:spacing w:line="300" w:lineRule="exact"/>
              <w:jc w:val="center"/>
              <w:rPr>
                <w:rFonts w:ascii="仿宋" w:hAnsi="仿宋" w:eastAsia="仿宋"/>
              </w:rPr>
            </w:pPr>
            <w:r>
              <w:rPr>
                <w:rFonts w:hint="eastAsia" w:ascii="仿宋" w:hAnsi="仿宋" w:eastAsia="仿宋"/>
              </w:rPr>
              <w:t>年份</w:t>
            </w:r>
          </w:p>
        </w:tc>
        <w:tc>
          <w:tcPr>
            <w:tcW w:w="1191" w:type="dxa"/>
            <w:vAlign w:val="center"/>
          </w:tcPr>
          <w:p>
            <w:pPr>
              <w:pStyle w:val="27"/>
              <w:spacing w:line="300" w:lineRule="exact"/>
              <w:jc w:val="center"/>
            </w:pPr>
            <w:r>
              <w:rPr>
                <w:rFonts w:hint="eastAsia"/>
              </w:rPr>
              <w:t>2021</w:t>
            </w:r>
          </w:p>
        </w:tc>
        <w:tc>
          <w:tcPr>
            <w:tcW w:w="1045" w:type="dxa"/>
            <w:vAlign w:val="center"/>
          </w:tcPr>
          <w:p>
            <w:pPr>
              <w:pStyle w:val="27"/>
              <w:spacing w:line="300" w:lineRule="exact"/>
              <w:jc w:val="center"/>
            </w:pPr>
            <w:r>
              <w:rPr>
                <w:rFonts w:hint="eastAsia"/>
              </w:rPr>
              <w:t>2022</w:t>
            </w:r>
          </w:p>
        </w:tc>
        <w:tc>
          <w:tcPr>
            <w:tcW w:w="954" w:type="dxa"/>
            <w:vAlign w:val="center"/>
          </w:tcPr>
          <w:p>
            <w:pPr>
              <w:pStyle w:val="27"/>
              <w:spacing w:line="300" w:lineRule="exact"/>
              <w:jc w:val="center"/>
            </w:pPr>
            <w:r>
              <w:rPr>
                <w:rFonts w:hint="eastAsia"/>
              </w:rPr>
              <w:t>2023</w:t>
            </w:r>
          </w:p>
        </w:tc>
        <w:tc>
          <w:tcPr>
            <w:tcW w:w="810" w:type="dxa"/>
            <w:vAlign w:val="center"/>
          </w:tcPr>
          <w:p>
            <w:pPr>
              <w:pStyle w:val="27"/>
              <w:spacing w:line="300" w:lineRule="exact"/>
              <w:jc w:val="center"/>
            </w:pPr>
            <w:r>
              <w:rPr>
                <w:rFonts w:hint="eastAsia"/>
              </w:rPr>
              <w:t>2024</w:t>
            </w:r>
          </w:p>
        </w:tc>
        <w:tc>
          <w:tcPr>
            <w:tcW w:w="954" w:type="dxa"/>
            <w:vAlign w:val="center"/>
          </w:tcPr>
          <w:p>
            <w:pPr>
              <w:pStyle w:val="27"/>
              <w:spacing w:line="300" w:lineRule="exact"/>
              <w:jc w:val="center"/>
            </w:pPr>
            <w:r>
              <w:rPr>
                <w:rFonts w:hint="eastAsia"/>
              </w:rPr>
              <w:t>2025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jc w:val="center"/>
        </w:trPr>
        <w:tc>
          <w:tcPr>
            <w:tcW w:w="3568" w:type="dxa"/>
            <w:vAlign w:val="center"/>
          </w:tcPr>
          <w:p>
            <w:pPr>
              <w:pStyle w:val="27"/>
              <w:spacing w:line="300" w:lineRule="exact"/>
              <w:jc w:val="center"/>
              <w:rPr>
                <w:rFonts w:ascii="仿宋" w:hAnsi="仿宋" w:eastAsia="仿宋"/>
              </w:rPr>
            </w:pPr>
            <w:r>
              <w:rPr>
                <w:rFonts w:hint="eastAsia" w:ascii="仿宋" w:hAnsi="仿宋" w:eastAsia="仿宋"/>
              </w:rPr>
              <w:t>电动物流车保有量（万辆）</w:t>
            </w:r>
          </w:p>
        </w:tc>
        <w:tc>
          <w:tcPr>
            <w:tcW w:w="1191" w:type="dxa"/>
            <w:vAlign w:val="center"/>
          </w:tcPr>
          <w:p>
            <w:pPr>
              <w:pStyle w:val="27"/>
              <w:spacing w:line="300" w:lineRule="exact"/>
              <w:jc w:val="center"/>
            </w:pPr>
            <w:r>
              <w:rPr>
                <w:rFonts w:hint="eastAsia"/>
              </w:rPr>
              <w:t>2.2</w:t>
            </w:r>
          </w:p>
        </w:tc>
        <w:tc>
          <w:tcPr>
            <w:tcW w:w="1045" w:type="dxa"/>
            <w:vAlign w:val="center"/>
          </w:tcPr>
          <w:p>
            <w:pPr>
              <w:pStyle w:val="27"/>
              <w:spacing w:line="300" w:lineRule="exact"/>
              <w:jc w:val="center"/>
            </w:pPr>
            <w:r>
              <w:rPr>
                <w:rFonts w:hint="eastAsia"/>
              </w:rPr>
              <w:t>2.3</w:t>
            </w:r>
          </w:p>
        </w:tc>
        <w:tc>
          <w:tcPr>
            <w:tcW w:w="954" w:type="dxa"/>
            <w:vAlign w:val="center"/>
          </w:tcPr>
          <w:p>
            <w:pPr>
              <w:pStyle w:val="27"/>
              <w:spacing w:line="300" w:lineRule="exact"/>
              <w:jc w:val="center"/>
            </w:pPr>
            <w:r>
              <w:rPr>
                <w:rFonts w:hint="eastAsia"/>
              </w:rPr>
              <w:t>2.5</w:t>
            </w:r>
          </w:p>
        </w:tc>
        <w:tc>
          <w:tcPr>
            <w:tcW w:w="810" w:type="dxa"/>
            <w:vAlign w:val="center"/>
          </w:tcPr>
          <w:p>
            <w:pPr>
              <w:pStyle w:val="27"/>
              <w:spacing w:line="300" w:lineRule="exact"/>
              <w:jc w:val="center"/>
            </w:pPr>
            <w:r>
              <w:rPr>
                <w:rFonts w:hint="eastAsia"/>
              </w:rPr>
              <w:t>2.7</w:t>
            </w:r>
          </w:p>
        </w:tc>
        <w:tc>
          <w:tcPr>
            <w:tcW w:w="954" w:type="dxa"/>
            <w:vAlign w:val="center"/>
          </w:tcPr>
          <w:p>
            <w:pPr>
              <w:pStyle w:val="27"/>
              <w:spacing w:line="300" w:lineRule="exact"/>
              <w:jc w:val="center"/>
            </w:pPr>
            <w:r>
              <w:rPr>
                <w:rFonts w:hint="eastAsia"/>
              </w:rPr>
              <w:t>3.0</w:t>
            </w:r>
          </w:p>
        </w:tc>
      </w:tr>
    </w:tbl>
    <w:p>
      <w:pPr>
        <w:pStyle w:val="26"/>
        <w:spacing w:beforeLines="50" w:line="580" w:lineRule="exact"/>
        <w:ind w:firstLine="0"/>
        <w:rPr>
          <w:rFonts w:eastAsia="仿宋_GB2312"/>
          <w:bCs/>
          <w:sz w:val="24"/>
          <w:szCs w:val="24"/>
        </w:rPr>
      </w:pPr>
      <w:r>
        <w:rPr>
          <w:rFonts w:hint="eastAsia" w:eastAsia="仿宋_GB2312"/>
          <w:bCs/>
          <w:sz w:val="24"/>
          <w:szCs w:val="24"/>
        </w:rPr>
        <w:t xml:space="preserve">表21  </w:t>
      </w:r>
      <w:r>
        <w:rPr>
          <w:rFonts w:eastAsia="仿宋_GB2312"/>
          <w:bCs/>
          <w:sz w:val="24"/>
          <w:szCs w:val="24"/>
        </w:rPr>
        <w:t>2021-2025</w:t>
      </w:r>
      <w:r>
        <w:rPr>
          <w:rFonts w:hint="eastAsia" w:eastAsia="仿宋_GB2312"/>
          <w:bCs/>
          <w:sz w:val="24"/>
          <w:szCs w:val="24"/>
        </w:rPr>
        <w:t>年电动环卫车推广预测</w:t>
      </w:r>
    </w:p>
    <w:tbl>
      <w:tblPr>
        <w:tblStyle w:val="17"/>
        <w:tblW w:w="852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724"/>
        <w:gridCol w:w="1009"/>
        <w:gridCol w:w="1072"/>
        <w:gridCol w:w="954"/>
        <w:gridCol w:w="810"/>
        <w:gridCol w:w="95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jc w:val="center"/>
        </w:trPr>
        <w:tc>
          <w:tcPr>
            <w:tcW w:w="3724" w:type="dxa"/>
            <w:vAlign w:val="center"/>
          </w:tcPr>
          <w:p>
            <w:pPr>
              <w:pStyle w:val="27"/>
              <w:jc w:val="center"/>
              <w:rPr>
                <w:rFonts w:ascii="仿宋" w:hAnsi="仿宋" w:eastAsia="仿宋"/>
              </w:rPr>
            </w:pPr>
            <w:r>
              <w:rPr>
                <w:rFonts w:hint="eastAsia" w:ascii="仿宋" w:hAnsi="仿宋" w:eastAsia="仿宋"/>
              </w:rPr>
              <w:t>年份</w:t>
            </w:r>
          </w:p>
        </w:tc>
        <w:tc>
          <w:tcPr>
            <w:tcW w:w="1009" w:type="dxa"/>
            <w:vAlign w:val="center"/>
          </w:tcPr>
          <w:p>
            <w:pPr>
              <w:pStyle w:val="27"/>
              <w:jc w:val="center"/>
            </w:pPr>
            <w:r>
              <w:rPr>
                <w:rFonts w:hint="eastAsia"/>
              </w:rPr>
              <w:t>2021</w:t>
            </w:r>
          </w:p>
        </w:tc>
        <w:tc>
          <w:tcPr>
            <w:tcW w:w="1072" w:type="dxa"/>
            <w:vAlign w:val="center"/>
          </w:tcPr>
          <w:p>
            <w:pPr>
              <w:pStyle w:val="27"/>
              <w:jc w:val="center"/>
            </w:pPr>
            <w:r>
              <w:rPr>
                <w:rFonts w:hint="eastAsia"/>
              </w:rPr>
              <w:t>2022</w:t>
            </w:r>
          </w:p>
        </w:tc>
        <w:tc>
          <w:tcPr>
            <w:tcW w:w="954" w:type="dxa"/>
            <w:vAlign w:val="center"/>
          </w:tcPr>
          <w:p>
            <w:pPr>
              <w:pStyle w:val="27"/>
              <w:jc w:val="center"/>
            </w:pPr>
            <w:r>
              <w:rPr>
                <w:rFonts w:hint="eastAsia"/>
              </w:rPr>
              <w:t>2023</w:t>
            </w:r>
          </w:p>
        </w:tc>
        <w:tc>
          <w:tcPr>
            <w:tcW w:w="810" w:type="dxa"/>
            <w:vAlign w:val="center"/>
          </w:tcPr>
          <w:p>
            <w:pPr>
              <w:pStyle w:val="27"/>
              <w:jc w:val="center"/>
            </w:pPr>
            <w:r>
              <w:rPr>
                <w:rFonts w:hint="eastAsia"/>
              </w:rPr>
              <w:t>2024</w:t>
            </w:r>
          </w:p>
        </w:tc>
        <w:tc>
          <w:tcPr>
            <w:tcW w:w="953" w:type="dxa"/>
            <w:vAlign w:val="center"/>
          </w:tcPr>
          <w:p>
            <w:pPr>
              <w:pStyle w:val="27"/>
              <w:jc w:val="center"/>
            </w:pPr>
            <w:r>
              <w:rPr>
                <w:rFonts w:hint="eastAsia"/>
              </w:rPr>
              <w:t>2025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jc w:val="center"/>
        </w:trPr>
        <w:tc>
          <w:tcPr>
            <w:tcW w:w="3724" w:type="dxa"/>
            <w:vAlign w:val="center"/>
          </w:tcPr>
          <w:p>
            <w:pPr>
              <w:pStyle w:val="27"/>
              <w:jc w:val="center"/>
              <w:rPr>
                <w:rFonts w:ascii="仿宋" w:hAnsi="仿宋" w:eastAsia="仿宋"/>
              </w:rPr>
            </w:pPr>
            <w:r>
              <w:rPr>
                <w:rFonts w:hint="eastAsia" w:ascii="仿宋" w:hAnsi="仿宋" w:eastAsia="仿宋"/>
              </w:rPr>
              <w:t>环卫车总保有量预计（辆）</w:t>
            </w:r>
          </w:p>
        </w:tc>
        <w:tc>
          <w:tcPr>
            <w:tcW w:w="1009" w:type="dxa"/>
            <w:vAlign w:val="center"/>
          </w:tcPr>
          <w:p>
            <w:pPr>
              <w:pStyle w:val="27"/>
              <w:jc w:val="center"/>
            </w:pPr>
            <w:r>
              <w:rPr>
                <w:rFonts w:hint="eastAsia"/>
              </w:rPr>
              <w:t>6500</w:t>
            </w:r>
          </w:p>
        </w:tc>
        <w:tc>
          <w:tcPr>
            <w:tcW w:w="1072" w:type="dxa"/>
            <w:vAlign w:val="center"/>
          </w:tcPr>
          <w:p>
            <w:pPr>
              <w:pStyle w:val="27"/>
              <w:jc w:val="center"/>
            </w:pPr>
            <w:r>
              <w:rPr>
                <w:rFonts w:hint="eastAsia"/>
              </w:rPr>
              <w:t>7000</w:t>
            </w:r>
          </w:p>
        </w:tc>
        <w:tc>
          <w:tcPr>
            <w:tcW w:w="954" w:type="dxa"/>
            <w:vAlign w:val="center"/>
          </w:tcPr>
          <w:p>
            <w:pPr>
              <w:pStyle w:val="27"/>
              <w:jc w:val="center"/>
            </w:pPr>
            <w:r>
              <w:rPr>
                <w:rFonts w:hint="eastAsia"/>
              </w:rPr>
              <w:t>7500</w:t>
            </w:r>
          </w:p>
        </w:tc>
        <w:tc>
          <w:tcPr>
            <w:tcW w:w="810" w:type="dxa"/>
            <w:vAlign w:val="center"/>
          </w:tcPr>
          <w:p>
            <w:pPr>
              <w:pStyle w:val="27"/>
              <w:jc w:val="center"/>
            </w:pPr>
            <w:r>
              <w:rPr>
                <w:rFonts w:hint="eastAsia"/>
              </w:rPr>
              <w:t>8000</w:t>
            </w:r>
          </w:p>
        </w:tc>
        <w:tc>
          <w:tcPr>
            <w:tcW w:w="953" w:type="dxa"/>
            <w:vAlign w:val="center"/>
          </w:tcPr>
          <w:p>
            <w:pPr>
              <w:pStyle w:val="27"/>
              <w:jc w:val="center"/>
            </w:pPr>
            <w:r>
              <w:rPr>
                <w:rFonts w:hint="eastAsia"/>
              </w:rPr>
              <w:t>8500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jc w:val="center"/>
        </w:trPr>
        <w:tc>
          <w:tcPr>
            <w:tcW w:w="3724" w:type="dxa"/>
            <w:vAlign w:val="center"/>
          </w:tcPr>
          <w:p>
            <w:pPr>
              <w:pStyle w:val="27"/>
              <w:jc w:val="center"/>
              <w:rPr>
                <w:rFonts w:ascii="仿宋" w:hAnsi="仿宋" w:eastAsia="仿宋"/>
              </w:rPr>
            </w:pPr>
            <w:r>
              <w:rPr>
                <w:rFonts w:hint="eastAsia" w:ascii="仿宋" w:hAnsi="仿宋" w:eastAsia="仿宋"/>
              </w:rPr>
              <w:t>电动环卫车保有量（辆）</w:t>
            </w:r>
          </w:p>
        </w:tc>
        <w:tc>
          <w:tcPr>
            <w:tcW w:w="1009" w:type="dxa"/>
            <w:vAlign w:val="center"/>
          </w:tcPr>
          <w:p>
            <w:pPr>
              <w:pStyle w:val="27"/>
              <w:jc w:val="center"/>
            </w:pPr>
            <w:r>
              <w:t>700</w:t>
            </w:r>
          </w:p>
        </w:tc>
        <w:tc>
          <w:tcPr>
            <w:tcW w:w="1072" w:type="dxa"/>
            <w:vAlign w:val="center"/>
          </w:tcPr>
          <w:p>
            <w:pPr>
              <w:pStyle w:val="27"/>
              <w:jc w:val="center"/>
            </w:pPr>
            <w:r>
              <w:t>900</w:t>
            </w:r>
          </w:p>
        </w:tc>
        <w:tc>
          <w:tcPr>
            <w:tcW w:w="954" w:type="dxa"/>
            <w:vAlign w:val="center"/>
          </w:tcPr>
          <w:p>
            <w:pPr>
              <w:pStyle w:val="27"/>
              <w:jc w:val="center"/>
            </w:pPr>
            <w:r>
              <w:t>1200</w:t>
            </w:r>
          </w:p>
        </w:tc>
        <w:tc>
          <w:tcPr>
            <w:tcW w:w="810" w:type="dxa"/>
            <w:vAlign w:val="center"/>
          </w:tcPr>
          <w:p>
            <w:pPr>
              <w:pStyle w:val="27"/>
              <w:jc w:val="center"/>
            </w:pPr>
            <w:r>
              <w:t>1500</w:t>
            </w:r>
          </w:p>
        </w:tc>
        <w:tc>
          <w:tcPr>
            <w:tcW w:w="953" w:type="dxa"/>
            <w:vAlign w:val="center"/>
          </w:tcPr>
          <w:p>
            <w:pPr>
              <w:pStyle w:val="27"/>
              <w:jc w:val="center"/>
            </w:pPr>
            <w:r>
              <w:t>1800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jc w:val="center"/>
        </w:trPr>
        <w:tc>
          <w:tcPr>
            <w:tcW w:w="3724" w:type="dxa"/>
            <w:vAlign w:val="center"/>
          </w:tcPr>
          <w:p>
            <w:pPr>
              <w:pStyle w:val="27"/>
              <w:jc w:val="center"/>
              <w:rPr>
                <w:rFonts w:ascii="仿宋" w:hAnsi="仿宋" w:eastAsia="仿宋"/>
              </w:rPr>
            </w:pPr>
            <w:r>
              <w:rPr>
                <w:rFonts w:hint="eastAsia" w:ascii="仿宋" w:hAnsi="仿宋" w:eastAsia="仿宋"/>
              </w:rPr>
              <w:t>占比</w:t>
            </w:r>
          </w:p>
        </w:tc>
        <w:tc>
          <w:tcPr>
            <w:tcW w:w="1009" w:type="dxa"/>
            <w:vAlign w:val="center"/>
          </w:tcPr>
          <w:p>
            <w:pPr>
              <w:pStyle w:val="27"/>
              <w:jc w:val="center"/>
            </w:pPr>
            <w:r>
              <w:rPr>
                <w:rFonts w:hint="eastAsia"/>
                <w:sz w:val="22"/>
                <w:szCs w:val="22"/>
              </w:rPr>
              <w:t>10%</w:t>
            </w:r>
          </w:p>
        </w:tc>
        <w:tc>
          <w:tcPr>
            <w:tcW w:w="1072" w:type="dxa"/>
            <w:vAlign w:val="center"/>
          </w:tcPr>
          <w:p>
            <w:pPr>
              <w:pStyle w:val="27"/>
              <w:jc w:val="center"/>
            </w:pPr>
            <w:r>
              <w:rPr>
                <w:rFonts w:hint="eastAsia"/>
                <w:sz w:val="22"/>
                <w:szCs w:val="22"/>
              </w:rPr>
              <w:t>13%</w:t>
            </w:r>
          </w:p>
        </w:tc>
        <w:tc>
          <w:tcPr>
            <w:tcW w:w="954" w:type="dxa"/>
            <w:vAlign w:val="center"/>
          </w:tcPr>
          <w:p>
            <w:pPr>
              <w:pStyle w:val="27"/>
              <w:jc w:val="center"/>
            </w:pPr>
            <w:r>
              <w:rPr>
                <w:rFonts w:hint="eastAsia"/>
                <w:sz w:val="22"/>
                <w:szCs w:val="22"/>
              </w:rPr>
              <w:t>16%</w:t>
            </w:r>
          </w:p>
        </w:tc>
        <w:tc>
          <w:tcPr>
            <w:tcW w:w="810" w:type="dxa"/>
            <w:vAlign w:val="center"/>
          </w:tcPr>
          <w:p>
            <w:pPr>
              <w:pStyle w:val="27"/>
              <w:jc w:val="center"/>
            </w:pPr>
            <w:r>
              <w:rPr>
                <w:rFonts w:hint="eastAsia"/>
                <w:sz w:val="22"/>
                <w:szCs w:val="22"/>
              </w:rPr>
              <w:t>19%</w:t>
            </w:r>
          </w:p>
        </w:tc>
        <w:tc>
          <w:tcPr>
            <w:tcW w:w="953" w:type="dxa"/>
            <w:vAlign w:val="center"/>
          </w:tcPr>
          <w:p>
            <w:pPr>
              <w:pStyle w:val="27"/>
              <w:jc w:val="center"/>
            </w:pPr>
            <w:r>
              <w:rPr>
                <w:rFonts w:hint="eastAsia"/>
                <w:sz w:val="22"/>
                <w:szCs w:val="22"/>
              </w:rPr>
              <w:t>21%</w:t>
            </w:r>
          </w:p>
        </w:tc>
      </w:tr>
    </w:tbl>
    <w:p>
      <w:pPr>
        <w:pStyle w:val="26"/>
        <w:spacing w:line="240" w:lineRule="auto"/>
        <w:ind w:firstLine="0"/>
        <w:rPr>
          <w:bCs/>
          <w:sz w:val="22"/>
          <w:szCs w:val="22"/>
        </w:rPr>
      </w:pPr>
    </w:p>
    <w:p>
      <w:pPr>
        <w:pStyle w:val="26"/>
        <w:spacing w:line="240" w:lineRule="auto"/>
        <w:ind w:firstLine="0"/>
        <w:rPr>
          <w:bCs/>
          <w:sz w:val="22"/>
          <w:szCs w:val="22"/>
        </w:rPr>
      </w:pPr>
      <w:r>
        <w:rPr>
          <w:bCs/>
          <w:sz w:val="22"/>
          <w:szCs w:val="22"/>
        </w:rPr>
        <w:drawing>
          <wp:inline distT="0" distB="0" distL="0" distR="0">
            <wp:extent cx="5327015" cy="1915795"/>
            <wp:effectExtent l="0" t="0" r="0" b="0"/>
            <wp:docPr id="55" name="图表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pPr>
        <w:pStyle w:val="26"/>
        <w:spacing w:afterLines="50" w:line="240" w:lineRule="auto"/>
        <w:ind w:firstLine="0"/>
        <w:rPr>
          <w:rFonts w:eastAsia="仿宋_GB2312"/>
          <w:bCs/>
          <w:sz w:val="24"/>
          <w:szCs w:val="24"/>
        </w:rPr>
      </w:pPr>
      <w:r>
        <w:rPr>
          <w:rFonts w:hint="eastAsia" w:eastAsia="仿宋_GB2312"/>
          <w:bCs/>
          <w:sz w:val="24"/>
          <w:szCs w:val="24"/>
        </w:rPr>
        <w:t xml:space="preserve">图21  </w:t>
      </w:r>
      <w:r>
        <w:rPr>
          <w:rFonts w:eastAsia="仿宋_GB2312"/>
          <w:bCs/>
          <w:sz w:val="24"/>
          <w:szCs w:val="24"/>
        </w:rPr>
        <w:t>2021-2025</w:t>
      </w:r>
      <w:r>
        <w:rPr>
          <w:rFonts w:hint="eastAsia" w:eastAsia="仿宋_GB2312"/>
          <w:bCs/>
          <w:sz w:val="24"/>
          <w:szCs w:val="24"/>
        </w:rPr>
        <w:t>年电动环卫车推广预测</w:t>
      </w:r>
    </w:p>
    <w:p>
      <w:pPr>
        <w:pStyle w:val="26"/>
        <w:spacing w:beforeLines="50" w:line="580" w:lineRule="exact"/>
        <w:ind w:firstLine="0"/>
        <w:rPr>
          <w:rFonts w:eastAsia="仿宋_GB2312"/>
          <w:bCs/>
          <w:sz w:val="24"/>
          <w:szCs w:val="24"/>
        </w:rPr>
      </w:pPr>
      <w:r>
        <w:rPr>
          <w:rFonts w:hint="eastAsia" w:eastAsia="仿宋_GB2312"/>
          <w:bCs/>
          <w:sz w:val="24"/>
          <w:szCs w:val="24"/>
        </w:rPr>
        <w:t>表22  陕西省“十四五”电动汽车保有量预测（万辆）</w:t>
      </w:r>
    </w:p>
    <w:tbl>
      <w:tblPr>
        <w:tblStyle w:val="1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62"/>
        <w:gridCol w:w="977"/>
        <w:gridCol w:w="977"/>
        <w:gridCol w:w="951"/>
        <w:gridCol w:w="977"/>
        <w:gridCol w:w="8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3762" w:type="dxa"/>
            <w:shd w:val="clear" w:color="auto" w:fill="auto"/>
            <w:vAlign w:val="center"/>
          </w:tcPr>
          <w:p>
            <w:pPr>
              <w:pStyle w:val="27"/>
              <w:spacing w:line="300" w:lineRule="exact"/>
              <w:jc w:val="center"/>
              <w:rPr>
                <w:rFonts w:ascii="仿宋" w:hAnsi="仿宋" w:eastAsia="仿宋"/>
              </w:rPr>
            </w:pPr>
            <w:r>
              <w:rPr>
                <w:rFonts w:hint="eastAsia" w:ascii="仿宋" w:hAnsi="仿宋" w:eastAsia="仿宋"/>
              </w:rPr>
              <w:t>类型</w:t>
            </w:r>
          </w:p>
        </w:tc>
        <w:tc>
          <w:tcPr>
            <w:tcW w:w="977" w:type="dxa"/>
            <w:shd w:val="clear" w:color="auto" w:fill="auto"/>
            <w:vAlign w:val="center"/>
          </w:tcPr>
          <w:p>
            <w:pPr>
              <w:pStyle w:val="27"/>
              <w:spacing w:line="300" w:lineRule="exact"/>
              <w:jc w:val="center"/>
            </w:pPr>
            <w:r>
              <w:rPr>
                <w:rFonts w:hint="eastAsia"/>
              </w:rPr>
              <w:t>2021</w:t>
            </w:r>
          </w:p>
        </w:tc>
        <w:tc>
          <w:tcPr>
            <w:tcW w:w="977" w:type="dxa"/>
            <w:shd w:val="clear" w:color="auto" w:fill="auto"/>
            <w:vAlign w:val="center"/>
          </w:tcPr>
          <w:p>
            <w:pPr>
              <w:pStyle w:val="27"/>
              <w:spacing w:line="300" w:lineRule="exact"/>
              <w:jc w:val="center"/>
            </w:pPr>
            <w:r>
              <w:rPr>
                <w:rFonts w:hint="eastAsia"/>
              </w:rPr>
              <w:t>2022</w:t>
            </w:r>
          </w:p>
        </w:tc>
        <w:tc>
          <w:tcPr>
            <w:tcW w:w="951" w:type="dxa"/>
            <w:shd w:val="clear" w:color="auto" w:fill="auto"/>
            <w:vAlign w:val="center"/>
          </w:tcPr>
          <w:p>
            <w:pPr>
              <w:pStyle w:val="27"/>
              <w:spacing w:line="300" w:lineRule="exact"/>
              <w:jc w:val="center"/>
            </w:pPr>
            <w:r>
              <w:rPr>
                <w:rFonts w:hint="eastAsia"/>
              </w:rPr>
              <w:t>2023</w:t>
            </w:r>
          </w:p>
        </w:tc>
        <w:tc>
          <w:tcPr>
            <w:tcW w:w="977" w:type="dxa"/>
            <w:shd w:val="clear" w:color="auto" w:fill="auto"/>
            <w:vAlign w:val="center"/>
          </w:tcPr>
          <w:p>
            <w:pPr>
              <w:pStyle w:val="27"/>
              <w:spacing w:line="300" w:lineRule="exact"/>
              <w:jc w:val="center"/>
            </w:pPr>
            <w:r>
              <w:rPr>
                <w:rFonts w:hint="eastAsia"/>
              </w:rPr>
              <w:t>2024</w:t>
            </w:r>
          </w:p>
        </w:tc>
        <w:tc>
          <w:tcPr>
            <w:tcW w:w="878" w:type="dxa"/>
            <w:shd w:val="clear" w:color="auto" w:fill="auto"/>
            <w:vAlign w:val="center"/>
          </w:tcPr>
          <w:p>
            <w:pPr>
              <w:pStyle w:val="27"/>
              <w:spacing w:line="300" w:lineRule="exact"/>
              <w:jc w:val="center"/>
            </w:pPr>
            <w:r>
              <w:rPr>
                <w:rFonts w:hint="eastAsia"/>
              </w:rPr>
              <w:t>2025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3762" w:type="dxa"/>
            <w:shd w:val="clear" w:color="auto" w:fill="auto"/>
            <w:vAlign w:val="center"/>
          </w:tcPr>
          <w:p>
            <w:pPr>
              <w:pStyle w:val="27"/>
              <w:spacing w:line="300" w:lineRule="exact"/>
              <w:jc w:val="center"/>
              <w:rPr>
                <w:rFonts w:ascii="仿宋" w:hAnsi="仿宋" w:eastAsia="仿宋"/>
              </w:rPr>
            </w:pPr>
            <w:r>
              <w:rPr>
                <w:rFonts w:hint="eastAsia" w:ascii="仿宋" w:hAnsi="仿宋" w:eastAsia="仿宋"/>
              </w:rPr>
              <w:t>电动公交车</w:t>
            </w:r>
          </w:p>
        </w:tc>
        <w:tc>
          <w:tcPr>
            <w:tcW w:w="977" w:type="dxa"/>
            <w:shd w:val="clear" w:color="auto" w:fill="auto"/>
            <w:vAlign w:val="center"/>
          </w:tcPr>
          <w:p>
            <w:pPr>
              <w:pStyle w:val="27"/>
              <w:widowControl/>
              <w:spacing w:line="300" w:lineRule="exact"/>
              <w:jc w:val="center"/>
            </w:pPr>
            <w:r>
              <w:t>1.</w:t>
            </w:r>
            <w:r>
              <w:rPr>
                <w:rFonts w:hint="eastAsia"/>
              </w:rPr>
              <w:t>1</w:t>
            </w:r>
          </w:p>
        </w:tc>
        <w:tc>
          <w:tcPr>
            <w:tcW w:w="977" w:type="dxa"/>
            <w:shd w:val="clear" w:color="auto" w:fill="auto"/>
            <w:vAlign w:val="center"/>
          </w:tcPr>
          <w:p>
            <w:pPr>
              <w:pStyle w:val="27"/>
              <w:widowControl/>
              <w:spacing w:line="300" w:lineRule="exact"/>
              <w:jc w:val="center"/>
            </w:pPr>
            <w:r>
              <w:t>1.</w:t>
            </w:r>
            <w:r>
              <w:rPr>
                <w:rFonts w:hint="eastAsia"/>
              </w:rPr>
              <w:t>3</w:t>
            </w:r>
          </w:p>
        </w:tc>
        <w:tc>
          <w:tcPr>
            <w:tcW w:w="951" w:type="dxa"/>
            <w:shd w:val="clear" w:color="auto" w:fill="auto"/>
            <w:vAlign w:val="center"/>
          </w:tcPr>
          <w:p>
            <w:pPr>
              <w:pStyle w:val="27"/>
              <w:widowControl/>
              <w:spacing w:line="300" w:lineRule="exact"/>
              <w:jc w:val="center"/>
            </w:pPr>
            <w:r>
              <w:t>1.</w:t>
            </w:r>
            <w:r>
              <w:rPr>
                <w:rFonts w:hint="eastAsia"/>
              </w:rPr>
              <w:t>5</w:t>
            </w:r>
          </w:p>
        </w:tc>
        <w:tc>
          <w:tcPr>
            <w:tcW w:w="977" w:type="dxa"/>
            <w:shd w:val="clear" w:color="auto" w:fill="auto"/>
            <w:vAlign w:val="center"/>
          </w:tcPr>
          <w:p>
            <w:pPr>
              <w:pStyle w:val="27"/>
              <w:widowControl/>
              <w:spacing w:line="300" w:lineRule="exact"/>
              <w:jc w:val="center"/>
            </w:pPr>
            <w:r>
              <w:t>1.7</w:t>
            </w:r>
          </w:p>
        </w:tc>
        <w:tc>
          <w:tcPr>
            <w:tcW w:w="878" w:type="dxa"/>
            <w:shd w:val="clear" w:color="auto" w:fill="auto"/>
            <w:vAlign w:val="center"/>
          </w:tcPr>
          <w:p>
            <w:pPr>
              <w:pStyle w:val="27"/>
              <w:widowControl/>
              <w:spacing w:line="300" w:lineRule="exact"/>
              <w:jc w:val="center"/>
            </w:pPr>
            <w: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3762" w:type="dxa"/>
            <w:shd w:val="clear" w:color="auto" w:fill="auto"/>
            <w:vAlign w:val="center"/>
          </w:tcPr>
          <w:p>
            <w:pPr>
              <w:pStyle w:val="27"/>
              <w:spacing w:line="300" w:lineRule="exact"/>
              <w:jc w:val="center"/>
              <w:rPr>
                <w:rFonts w:ascii="仿宋" w:hAnsi="仿宋" w:eastAsia="仿宋"/>
              </w:rPr>
            </w:pPr>
            <w:r>
              <w:rPr>
                <w:rFonts w:hint="eastAsia" w:ascii="仿宋" w:hAnsi="仿宋" w:eastAsia="仿宋"/>
              </w:rPr>
              <w:t>电动巡游出租车</w:t>
            </w:r>
          </w:p>
        </w:tc>
        <w:tc>
          <w:tcPr>
            <w:tcW w:w="977" w:type="dxa"/>
            <w:shd w:val="clear" w:color="auto" w:fill="auto"/>
            <w:vAlign w:val="center"/>
          </w:tcPr>
          <w:p>
            <w:pPr>
              <w:pStyle w:val="27"/>
              <w:widowControl/>
              <w:spacing w:line="300" w:lineRule="exact"/>
              <w:jc w:val="center"/>
            </w:pPr>
            <w:r>
              <w:t>1.5</w:t>
            </w:r>
          </w:p>
        </w:tc>
        <w:tc>
          <w:tcPr>
            <w:tcW w:w="977" w:type="dxa"/>
            <w:shd w:val="clear" w:color="auto" w:fill="auto"/>
            <w:vAlign w:val="center"/>
          </w:tcPr>
          <w:p>
            <w:pPr>
              <w:pStyle w:val="27"/>
              <w:widowControl/>
              <w:spacing w:line="300" w:lineRule="exact"/>
              <w:jc w:val="center"/>
            </w:pPr>
            <w:r>
              <w:t>1.8</w:t>
            </w:r>
          </w:p>
        </w:tc>
        <w:tc>
          <w:tcPr>
            <w:tcW w:w="951" w:type="dxa"/>
            <w:shd w:val="clear" w:color="auto" w:fill="auto"/>
            <w:vAlign w:val="center"/>
          </w:tcPr>
          <w:p>
            <w:pPr>
              <w:pStyle w:val="27"/>
              <w:widowControl/>
              <w:spacing w:line="300" w:lineRule="exact"/>
              <w:jc w:val="center"/>
            </w:pPr>
            <w:r>
              <w:t>2.1</w:t>
            </w:r>
          </w:p>
        </w:tc>
        <w:tc>
          <w:tcPr>
            <w:tcW w:w="977" w:type="dxa"/>
            <w:shd w:val="clear" w:color="auto" w:fill="auto"/>
            <w:vAlign w:val="center"/>
          </w:tcPr>
          <w:p>
            <w:pPr>
              <w:pStyle w:val="27"/>
              <w:widowControl/>
              <w:spacing w:line="300" w:lineRule="exact"/>
              <w:jc w:val="center"/>
            </w:pPr>
            <w:r>
              <w:t>2.5</w:t>
            </w:r>
          </w:p>
        </w:tc>
        <w:tc>
          <w:tcPr>
            <w:tcW w:w="878" w:type="dxa"/>
            <w:shd w:val="clear" w:color="auto" w:fill="auto"/>
            <w:vAlign w:val="center"/>
          </w:tcPr>
          <w:p>
            <w:pPr>
              <w:pStyle w:val="27"/>
              <w:widowControl/>
              <w:spacing w:line="300" w:lineRule="exact"/>
              <w:jc w:val="center"/>
            </w:pPr>
            <w: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3762" w:type="dxa"/>
            <w:shd w:val="clear" w:color="auto" w:fill="auto"/>
            <w:vAlign w:val="center"/>
          </w:tcPr>
          <w:p>
            <w:pPr>
              <w:pStyle w:val="27"/>
              <w:spacing w:line="300" w:lineRule="exact"/>
              <w:jc w:val="center"/>
              <w:rPr>
                <w:rFonts w:ascii="仿宋" w:hAnsi="仿宋" w:eastAsia="仿宋"/>
              </w:rPr>
            </w:pPr>
            <w:r>
              <w:rPr>
                <w:rFonts w:hint="eastAsia" w:ascii="仿宋" w:hAnsi="仿宋" w:eastAsia="仿宋"/>
              </w:rPr>
              <w:t>电动网约出租车</w:t>
            </w:r>
          </w:p>
        </w:tc>
        <w:tc>
          <w:tcPr>
            <w:tcW w:w="977" w:type="dxa"/>
            <w:shd w:val="clear" w:color="auto" w:fill="auto"/>
            <w:vAlign w:val="center"/>
          </w:tcPr>
          <w:p>
            <w:pPr>
              <w:pStyle w:val="27"/>
              <w:widowControl/>
              <w:spacing w:line="300" w:lineRule="exact"/>
              <w:jc w:val="center"/>
            </w:pPr>
            <w:r>
              <w:t>2</w:t>
            </w:r>
          </w:p>
        </w:tc>
        <w:tc>
          <w:tcPr>
            <w:tcW w:w="977" w:type="dxa"/>
            <w:shd w:val="clear" w:color="auto" w:fill="auto"/>
            <w:vAlign w:val="center"/>
          </w:tcPr>
          <w:p>
            <w:pPr>
              <w:pStyle w:val="27"/>
              <w:widowControl/>
              <w:spacing w:line="300" w:lineRule="exact"/>
              <w:jc w:val="center"/>
            </w:pPr>
            <w:r>
              <w:t>2.2</w:t>
            </w:r>
          </w:p>
        </w:tc>
        <w:tc>
          <w:tcPr>
            <w:tcW w:w="951" w:type="dxa"/>
            <w:shd w:val="clear" w:color="auto" w:fill="auto"/>
            <w:vAlign w:val="center"/>
          </w:tcPr>
          <w:p>
            <w:pPr>
              <w:pStyle w:val="27"/>
              <w:widowControl/>
              <w:spacing w:line="300" w:lineRule="exact"/>
              <w:jc w:val="center"/>
            </w:pPr>
            <w:r>
              <w:t>2.4</w:t>
            </w:r>
          </w:p>
        </w:tc>
        <w:tc>
          <w:tcPr>
            <w:tcW w:w="977" w:type="dxa"/>
            <w:shd w:val="clear" w:color="auto" w:fill="auto"/>
            <w:vAlign w:val="center"/>
          </w:tcPr>
          <w:p>
            <w:pPr>
              <w:pStyle w:val="27"/>
              <w:widowControl/>
              <w:spacing w:line="300" w:lineRule="exact"/>
              <w:jc w:val="center"/>
            </w:pPr>
            <w:r>
              <w:t>2.7</w:t>
            </w:r>
          </w:p>
        </w:tc>
        <w:tc>
          <w:tcPr>
            <w:tcW w:w="878" w:type="dxa"/>
            <w:shd w:val="clear" w:color="auto" w:fill="auto"/>
            <w:vAlign w:val="center"/>
          </w:tcPr>
          <w:p>
            <w:pPr>
              <w:pStyle w:val="27"/>
              <w:widowControl/>
              <w:spacing w:line="300" w:lineRule="exact"/>
              <w:jc w:val="center"/>
            </w:pPr>
            <w: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3762" w:type="dxa"/>
            <w:shd w:val="clear" w:color="auto" w:fill="auto"/>
            <w:vAlign w:val="center"/>
          </w:tcPr>
          <w:p>
            <w:pPr>
              <w:pStyle w:val="27"/>
              <w:spacing w:line="300" w:lineRule="exact"/>
              <w:jc w:val="center"/>
              <w:rPr>
                <w:rFonts w:ascii="仿宋" w:hAnsi="仿宋" w:eastAsia="仿宋"/>
              </w:rPr>
            </w:pPr>
            <w:r>
              <w:rPr>
                <w:rFonts w:hint="eastAsia" w:ascii="仿宋" w:hAnsi="仿宋" w:eastAsia="仿宋"/>
              </w:rPr>
              <w:t>电动物流车</w:t>
            </w:r>
          </w:p>
        </w:tc>
        <w:tc>
          <w:tcPr>
            <w:tcW w:w="977" w:type="dxa"/>
            <w:shd w:val="clear" w:color="auto" w:fill="auto"/>
            <w:vAlign w:val="center"/>
          </w:tcPr>
          <w:p>
            <w:pPr>
              <w:pStyle w:val="27"/>
              <w:widowControl/>
              <w:spacing w:line="300" w:lineRule="exact"/>
              <w:jc w:val="center"/>
            </w:pPr>
            <w:r>
              <w:t>2.2</w:t>
            </w:r>
          </w:p>
        </w:tc>
        <w:tc>
          <w:tcPr>
            <w:tcW w:w="977" w:type="dxa"/>
            <w:shd w:val="clear" w:color="auto" w:fill="auto"/>
            <w:vAlign w:val="center"/>
          </w:tcPr>
          <w:p>
            <w:pPr>
              <w:pStyle w:val="27"/>
              <w:widowControl/>
              <w:spacing w:line="300" w:lineRule="exact"/>
              <w:jc w:val="center"/>
            </w:pPr>
            <w:r>
              <w:t>2.3</w:t>
            </w:r>
          </w:p>
        </w:tc>
        <w:tc>
          <w:tcPr>
            <w:tcW w:w="951" w:type="dxa"/>
            <w:shd w:val="clear" w:color="auto" w:fill="auto"/>
            <w:vAlign w:val="center"/>
          </w:tcPr>
          <w:p>
            <w:pPr>
              <w:pStyle w:val="27"/>
              <w:widowControl/>
              <w:spacing w:line="300" w:lineRule="exact"/>
              <w:jc w:val="center"/>
            </w:pPr>
            <w:r>
              <w:t>2.5</w:t>
            </w:r>
          </w:p>
        </w:tc>
        <w:tc>
          <w:tcPr>
            <w:tcW w:w="977" w:type="dxa"/>
            <w:shd w:val="clear" w:color="auto" w:fill="auto"/>
            <w:vAlign w:val="center"/>
          </w:tcPr>
          <w:p>
            <w:pPr>
              <w:pStyle w:val="27"/>
              <w:widowControl/>
              <w:spacing w:line="300" w:lineRule="exact"/>
              <w:jc w:val="center"/>
            </w:pPr>
            <w:r>
              <w:t>2.7</w:t>
            </w:r>
          </w:p>
        </w:tc>
        <w:tc>
          <w:tcPr>
            <w:tcW w:w="878" w:type="dxa"/>
            <w:shd w:val="clear" w:color="auto" w:fill="auto"/>
            <w:vAlign w:val="center"/>
          </w:tcPr>
          <w:p>
            <w:pPr>
              <w:pStyle w:val="27"/>
              <w:widowControl/>
              <w:spacing w:line="300" w:lineRule="exact"/>
              <w:jc w:val="center"/>
            </w:pPr>
            <w: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3762" w:type="dxa"/>
            <w:shd w:val="clear" w:color="auto" w:fill="auto"/>
            <w:vAlign w:val="center"/>
          </w:tcPr>
          <w:p>
            <w:pPr>
              <w:pStyle w:val="27"/>
              <w:spacing w:line="300" w:lineRule="exact"/>
              <w:jc w:val="center"/>
              <w:rPr>
                <w:rFonts w:ascii="仿宋" w:hAnsi="仿宋" w:eastAsia="仿宋"/>
              </w:rPr>
            </w:pPr>
            <w:r>
              <w:rPr>
                <w:rFonts w:hint="eastAsia" w:ascii="仿宋" w:hAnsi="仿宋" w:eastAsia="仿宋"/>
              </w:rPr>
              <w:t>电动环卫车</w:t>
            </w:r>
          </w:p>
        </w:tc>
        <w:tc>
          <w:tcPr>
            <w:tcW w:w="977" w:type="dxa"/>
            <w:shd w:val="clear" w:color="auto" w:fill="auto"/>
            <w:vAlign w:val="center"/>
          </w:tcPr>
          <w:p>
            <w:pPr>
              <w:pStyle w:val="27"/>
              <w:widowControl/>
              <w:spacing w:line="300" w:lineRule="exact"/>
              <w:jc w:val="center"/>
            </w:pPr>
            <w:r>
              <w:t>0.07</w:t>
            </w:r>
          </w:p>
        </w:tc>
        <w:tc>
          <w:tcPr>
            <w:tcW w:w="977" w:type="dxa"/>
            <w:shd w:val="clear" w:color="auto" w:fill="auto"/>
            <w:vAlign w:val="center"/>
          </w:tcPr>
          <w:p>
            <w:pPr>
              <w:pStyle w:val="27"/>
              <w:widowControl/>
              <w:spacing w:line="300" w:lineRule="exact"/>
              <w:jc w:val="center"/>
            </w:pPr>
            <w:r>
              <w:t>0.09</w:t>
            </w:r>
          </w:p>
        </w:tc>
        <w:tc>
          <w:tcPr>
            <w:tcW w:w="951" w:type="dxa"/>
            <w:shd w:val="clear" w:color="auto" w:fill="auto"/>
            <w:vAlign w:val="center"/>
          </w:tcPr>
          <w:p>
            <w:pPr>
              <w:pStyle w:val="27"/>
              <w:widowControl/>
              <w:spacing w:line="300" w:lineRule="exact"/>
              <w:jc w:val="center"/>
            </w:pPr>
            <w:r>
              <w:t>0.12</w:t>
            </w:r>
          </w:p>
        </w:tc>
        <w:tc>
          <w:tcPr>
            <w:tcW w:w="977" w:type="dxa"/>
            <w:shd w:val="clear" w:color="auto" w:fill="auto"/>
            <w:vAlign w:val="center"/>
          </w:tcPr>
          <w:p>
            <w:pPr>
              <w:pStyle w:val="27"/>
              <w:widowControl/>
              <w:spacing w:line="300" w:lineRule="exact"/>
              <w:jc w:val="center"/>
            </w:pPr>
            <w:r>
              <w:t>0.15</w:t>
            </w:r>
          </w:p>
        </w:tc>
        <w:tc>
          <w:tcPr>
            <w:tcW w:w="878" w:type="dxa"/>
            <w:shd w:val="clear" w:color="auto" w:fill="auto"/>
            <w:vAlign w:val="center"/>
          </w:tcPr>
          <w:p>
            <w:pPr>
              <w:pStyle w:val="27"/>
              <w:widowControl/>
              <w:spacing w:line="300" w:lineRule="exact"/>
              <w:jc w:val="center"/>
            </w:pPr>
            <w:r>
              <w:t>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3762" w:type="dxa"/>
            <w:shd w:val="clear" w:color="auto" w:fill="auto"/>
            <w:vAlign w:val="center"/>
          </w:tcPr>
          <w:p>
            <w:pPr>
              <w:pStyle w:val="27"/>
              <w:spacing w:line="300" w:lineRule="exact"/>
              <w:jc w:val="center"/>
              <w:rPr>
                <w:rFonts w:ascii="仿宋" w:hAnsi="仿宋" w:eastAsia="仿宋"/>
              </w:rPr>
            </w:pPr>
            <w:r>
              <w:rPr>
                <w:rFonts w:hint="eastAsia" w:ascii="仿宋" w:hAnsi="仿宋" w:eastAsia="仿宋"/>
              </w:rPr>
              <w:t>电动客运班车、旅游客车</w:t>
            </w:r>
          </w:p>
        </w:tc>
        <w:tc>
          <w:tcPr>
            <w:tcW w:w="977" w:type="dxa"/>
            <w:shd w:val="clear" w:color="auto" w:fill="auto"/>
            <w:vAlign w:val="center"/>
          </w:tcPr>
          <w:p>
            <w:pPr>
              <w:pStyle w:val="27"/>
              <w:widowControl/>
              <w:spacing w:line="300" w:lineRule="exact"/>
              <w:jc w:val="center"/>
            </w:pPr>
            <w:r>
              <w:t>0.05</w:t>
            </w:r>
          </w:p>
        </w:tc>
        <w:tc>
          <w:tcPr>
            <w:tcW w:w="977" w:type="dxa"/>
            <w:shd w:val="clear" w:color="auto" w:fill="auto"/>
            <w:vAlign w:val="center"/>
          </w:tcPr>
          <w:p>
            <w:pPr>
              <w:pStyle w:val="27"/>
              <w:widowControl/>
              <w:spacing w:line="300" w:lineRule="exact"/>
              <w:jc w:val="center"/>
            </w:pPr>
            <w:r>
              <w:t>0.15</w:t>
            </w:r>
          </w:p>
        </w:tc>
        <w:tc>
          <w:tcPr>
            <w:tcW w:w="951" w:type="dxa"/>
            <w:shd w:val="clear" w:color="auto" w:fill="auto"/>
            <w:vAlign w:val="center"/>
          </w:tcPr>
          <w:p>
            <w:pPr>
              <w:pStyle w:val="27"/>
              <w:widowControl/>
              <w:spacing w:line="300" w:lineRule="exact"/>
              <w:jc w:val="center"/>
            </w:pPr>
            <w:r>
              <w:t>0.3</w:t>
            </w:r>
          </w:p>
        </w:tc>
        <w:tc>
          <w:tcPr>
            <w:tcW w:w="977" w:type="dxa"/>
            <w:shd w:val="clear" w:color="auto" w:fill="auto"/>
            <w:vAlign w:val="center"/>
          </w:tcPr>
          <w:p>
            <w:pPr>
              <w:pStyle w:val="27"/>
              <w:widowControl/>
              <w:spacing w:line="300" w:lineRule="exact"/>
              <w:jc w:val="center"/>
            </w:pPr>
            <w:r>
              <w:t>0.45</w:t>
            </w:r>
          </w:p>
        </w:tc>
        <w:tc>
          <w:tcPr>
            <w:tcW w:w="878" w:type="dxa"/>
            <w:shd w:val="clear" w:color="auto" w:fill="auto"/>
            <w:vAlign w:val="center"/>
          </w:tcPr>
          <w:p>
            <w:pPr>
              <w:pStyle w:val="27"/>
              <w:widowControl/>
              <w:spacing w:line="300" w:lineRule="exact"/>
              <w:jc w:val="center"/>
            </w:pPr>
            <w: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3762" w:type="dxa"/>
            <w:shd w:val="clear" w:color="auto" w:fill="auto"/>
            <w:vAlign w:val="center"/>
          </w:tcPr>
          <w:p>
            <w:pPr>
              <w:pStyle w:val="27"/>
              <w:spacing w:line="300" w:lineRule="exact"/>
              <w:jc w:val="center"/>
              <w:rPr>
                <w:rFonts w:ascii="仿宋" w:hAnsi="仿宋" w:eastAsia="仿宋"/>
              </w:rPr>
            </w:pPr>
            <w:r>
              <w:rPr>
                <w:rFonts w:hint="eastAsia" w:ascii="仿宋" w:hAnsi="仿宋" w:eastAsia="仿宋"/>
              </w:rPr>
              <w:t>其他（机场用车、工程车辆）</w:t>
            </w:r>
          </w:p>
        </w:tc>
        <w:tc>
          <w:tcPr>
            <w:tcW w:w="977" w:type="dxa"/>
            <w:shd w:val="clear" w:color="auto" w:fill="auto"/>
            <w:vAlign w:val="center"/>
          </w:tcPr>
          <w:p>
            <w:pPr>
              <w:pStyle w:val="27"/>
              <w:widowControl/>
              <w:spacing w:line="300" w:lineRule="exact"/>
              <w:jc w:val="center"/>
            </w:pPr>
            <w:r>
              <w:t>0.0</w:t>
            </w:r>
            <w:r>
              <w:rPr>
                <w:rFonts w:hint="eastAsia"/>
              </w:rPr>
              <w:t>3</w:t>
            </w:r>
          </w:p>
        </w:tc>
        <w:tc>
          <w:tcPr>
            <w:tcW w:w="977" w:type="dxa"/>
            <w:shd w:val="clear" w:color="auto" w:fill="auto"/>
            <w:vAlign w:val="center"/>
          </w:tcPr>
          <w:p>
            <w:pPr>
              <w:pStyle w:val="27"/>
              <w:widowControl/>
              <w:spacing w:line="300" w:lineRule="exact"/>
              <w:jc w:val="center"/>
            </w:pPr>
            <w:r>
              <w:t>0.0</w:t>
            </w:r>
            <w:r>
              <w:rPr>
                <w:rFonts w:hint="eastAsia"/>
              </w:rPr>
              <w:t>7</w:t>
            </w:r>
          </w:p>
        </w:tc>
        <w:tc>
          <w:tcPr>
            <w:tcW w:w="951" w:type="dxa"/>
            <w:shd w:val="clear" w:color="auto" w:fill="auto"/>
            <w:vAlign w:val="center"/>
          </w:tcPr>
          <w:p>
            <w:pPr>
              <w:pStyle w:val="27"/>
              <w:widowControl/>
              <w:spacing w:line="300" w:lineRule="exact"/>
              <w:jc w:val="center"/>
            </w:pPr>
            <w:r>
              <w:t>0.</w:t>
            </w:r>
            <w:r>
              <w:rPr>
                <w:rFonts w:hint="eastAsia"/>
              </w:rPr>
              <w:t>14</w:t>
            </w:r>
          </w:p>
        </w:tc>
        <w:tc>
          <w:tcPr>
            <w:tcW w:w="977" w:type="dxa"/>
            <w:shd w:val="clear" w:color="auto" w:fill="auto"/>
            <w:vAlign w:val="center"/>
          </w:tcPr>
          <w:p>
            <w:pPr>
              <w:pStyle w:val="27"/>
              <w:widowControl/>
              <w:spacing w:line="300" w:lineRule="exact"/>
              <w:jc w:val="center"/>
            </w:pPr>
            <w:r>
              <w:t>0.</w:t>
            </w:r>
            <w:r>
              <w:rPr>
                <w:rFonts w:hint="eastAsia"/>
              </w:rPr>
              <w:t>21</w:t>
            </w:r>
          </w:p>
        </w:tc>
        <w:tc>
          <w:tcPr>
            <w:tcW w:w="878" w:type="dxa"/>
            <w:shd w:val="clear" w:color="auto" w:fill="auto"/>
            <w:vAlign w:val="center"/>
          </w:tcPr>
          <w:p>
            <w:pPr>
              <w:pStyle w:val="27"/>
              <w:widowControl/>
              <w:spacing w:line="300" w:lineRule="exact"/>
              <w:jc w:val="center"/>
            </w:pPr>
            <w:r>
              <w:t>0.</w:t>
            </w:r>
            <w:r>
              <w:rPr>
                <w:rFonts w:hint="eastAsia"/>
              </w:rPr>
              <w:t>2</w:t>
            </w:r>
            <w: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3762" w:type="dxa"/>
            <w:shd w:val="clear" w:color="auto" w:fill="auto"/>
            <w:vAlign w:val="center"/>
          </w:tcPr>
          <w:p>
            <w:pPr>
              <w:pStyle w:val="27"/>
              <w:spacing w:line="300" w:lineRule="exact"/>
              <w:jc w:val="center"/>
              <w:rPr>
                <w:rFonts w:ascii="仿宋" w:hAnsi="仿宋" w:eastAsia="仿宋"/>
              </w:rPr>
            </w:pPr>
            <w:r>
              <w:rPr>
                <w:rFonts w:hint="eastAsia" w:ascii="仿宋" w:hAnsi="仿宋" w:eastAsia="仿宋"/>
              </w:rPr>
              <w:t>电动私人及公务乘用车</w:t>
            </w:r>
          </w:p>
        </w:tc>
        <w:tc>
          <w:tcPr>
            <w:tcW w:w="977" w:type="dxa"/>
            <w:shd w:val="clear" w:color="auto" w:fill="auto"/>
          </w:tcPr>
          <w:p>
            <w:pPr>
              <w:pStyle w:val="27"/>
              <w:widowControl/>
              <w:spacing w:line="300" w:lineRule="exact"/>
              <w:jc w:val="center"/>
            </w:pPr>
            <w:r>
              <w:t>10.05</w:t>
            </w:r>
          </w:p>
        </w:tc>
        <w:tc>
          <w:tcPr>
            <w:tcW w:w="977" w:type="dxa"/>
            <w:shd w:val="clear" w:color="auto" w:fill="auto"/>
          </w:tcPr>
          <w:p>
            <w:pPr>
              <w:pStyle w:val="27"/>
              <w:widowControl/>
              <w:spacing w:line="300" w:lineRule="exact"/>
              <w:jc w:val="center"/>
            </w:pPr>
            <w:r>
              <w:t>16.29</w:t>
            </w:r>
          </w:p>
        </w:tc>
        <w:tc>
          <w:tcPr>
            <w:tcW w:w="951" w:type="dxa"/>
            <w:shd w:val="clear" w:color="auto" w:fill="auto"/>
          </w:tcPr>
          <w:p>
            <w:pPr>
              <w:pStyle w:val="27"/>
              <w:widowControl/>
              <w:spacing w:line="300" w:lineRule="exact"/>
              <w:jc w:val="center"/>
            </w:pPr>
            <w:r>
              <w:t>24.74</w:t>
            </w:r>
          </w:p>
        </w:tc>
        <w:tc>
          <w:tcPr>
            <w:tcW w:w="977" w:type="dxa"/>
            <w:shd w:val="clear" w:color="auto" w:fill="auto"/>
          </w:tcPr>
          <w:p>
            <w:pPr>
              <w:pStyle w:val="27"/>
              <w:widowControl/>
              <w:spacing w:line="300" w:lineRule="exact"/>
              <w:jc w:val="center"/>
            </w:pPr>
            <w:r>
              <w:t>35.59</w:t>
            </w:r>
          </w:p>
        </w:tc>
        <w:tc>
          <w:tcPr>
            <w:tcW w:w="878" w:type="dxa"/>
            <w:shd w:val="clear" w:color="auto" w:fill="auto"/>
          </w:tcPr>
          <w:p>
            <w:pPr>
              <w:pStyle w:val="27"/>
              <w:widowControl/>
              <w:spacing w:line="300" w:lineRule="exact"/>
              <w:jc w:val="center"/>
            </w:pPr>
            <w:r>
              <w:t>47.94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3762" w:type="dxa"/>
            <w:shd w:val="clear" w:color="auto" w:fill="auto"/>
            <w:vAlign w:val="center"/>
          </w:tcPr>
          <w:p>
            <w:pPr>
              <w:pStyle w:val="27"/>
              <w:spacing w:line="300" w:lineRule="exact"/>
              <w:jc w:val="center"/>
              <w:rPr>
                <w:rFonts w:ascii="仿宋" w:hAnsi="仿宋" w:eastAsia="仿宋"/>
              </w:rPr>
            </w:pPr>
            <w:r>
              <w:rPr>
                <w:rFonts w:hint="eastAsia" w:ascii="仿宋" w:hAnsi="仿宋" w:eastAsia="仿宋"/>
              </w:rPr>
              <w:t>合计</w:t>
            </w:r>
          </w:p>
        </w:tc>
        <w:tc>
          <w:tcPr>
            <w:tcW w:w="977" w:type="dxa"/>
            <w:shd w:val="clear" w:color="auto" w:fill="auto"/>
          </w:tcPr>
          <w:p>
            <w:pPr>
              <w:pStyle w:val="27"/>
              <w:widowControl/>
              <w:spacing w:line="300" w:lineRule="exact"/>
              <w:jc w:val="center"/>
            </w:pPr>
            <w:r>
              <w:rPr>
                <w:rFonts w:hint="eastAsia"/>
              </w:rPr>
              <w:t>17</w:t>
            </w:r>
          </w:p>
        </w:tc>
        <w:tc>
          <w:tcPr>
            <w:tcW w:w="977" w:type="dxa"/>
            <w:shd w:val="clear" w:color="auto" w:fill="auto"/>
          </w:tcPr>
          <w:p>
            <w:pPr>
              <w:pStyle w:val="27"/>
              <w:widowControl/>
              <w:spacing w:line="300" w:lineRule="exact"/>
              <w:jc w:val="center"/>
            </w:pPr>
            <w:r>
              <w:rPr>
                <w:rFonts w:hint="eastAsia"/>
              </w:rPr>
              <w:t>24.2</w:t>
            </w:r>
          </w:p>
        </w:tc>
        <w:tc>
          <w:tcPr>
            <w:tcW w:w="951" w:type="dxa"/>
            <w:shd w:val="clear" w:color="auto" w:fill="auto"/>
          </w:tcPr>
          <w:p>
            <w:pPr>
              <w:pStyle w:val="27"/>
              <w:widowControl/>
              <w:spacing w:line="300" w:lineRule="exact"/>
              <w:jc w:val="center"/>
            </w:pPr>
            <w:r>
              <w:t>33.8</w:t>
            </w:r>
          </w:p>
        </w:tc>
        <w:tc>
          <w:tcPr>
            <w:tcW w:w="977" w:type="dxa"/>
            <w:shd w:val="clear" w:color="auto" w:fill="auto"/>
          </w:tcPr>
          <w:p>
            <w:pPr>
              <w:pStyle w:val="27"/>
              <w:widowControl/>
              <w:spacing w:line="300" w:lineRule="exact"/>
              <w:jc w:val="center"/>
            </w:pPr>
            <w:r>
              <w:t>46</w:t>
            </w:r>
          </w:p>
        </w:tc>
        <w:tc>
          <w:tcPr>
            <w:tcW w:w="878" w:type="dxa"/>
            <w:shd w:val="clear" w:color="auto" w:fill="auto"/>
          </w:tcPr>
          <w:p>
            <w:pPr>
              <w:pStyle w:val="27"/>
              <w:widowControl/>
              <w:spacing w:line="300" w:lineRule="exact"/>
              <w:jc w:val="center"/>
            </w:pPr>
            <w:r>
              <w:t>60</w:t>
            </w:r>
          </w:p>
        </w:tc>
      </w:tr>
    </w:tbl>
    <w:p>
      <w:pPr>
        <w:pStyle w:val="5"/>
        <w:spacing w:line="580" w:lineRule="exact"/>
        <w:ind w:firstLine="643"/>
      </w:pPr>
      <w:r>
        <w:rPr>
          <w:rFonts w:hint="eastAsia"/>
        </w:rPr>
        <w:t>3.分区域预测</w:t>
      </w:r>
    </w:p>
    <w:p>
      <w:pPr>
        <w:adjustRightInd w:val="0"/>
        <w:snapToGrid w:val="0"/>
        <w:spacing w:line="580"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基于陕西省电动汽车保有量预测结果，综合考虑各市区域生产总值、汽车保有量、购车优惠等政策支持、自然环境条件等因素，对陕西省各地市电动汽车保有量进行预测分析。</w:t>
      </w:r>
    </w:p>
    <w:p>
      <w:pPr>
        <w:adjustRightInd w:val="0"/>
        <w:snapToGrid w:val="0"/>
        <w:spacing w:line="580" w:lineRule="exact"/>
        <w:ind w:firstLine="640"/>
        <w:rPr>
          <w:rFonts w:ascii="Times New Roman" w:hAnsi="Times New Roman" w:eastAsia="仿宋_GB2312" w:cs="Times New Roman"/>
          <w:b/>
          <w:bCs/>
        </w:rPr>
      </w:pPr>
      <w:r>
        <w:rPr>
          <w:rFonts w:hint="eastAsia" w:ascii="Times New Roman" w:hAnsi="Times New Roman" w:eastAsia="仿宋_GB2312" w:cs="Times New Roman"/>
          <w:b/>
          <w:bCs/>
          <w:sz w:val="24"/>
        </w:rPr>
        <w:t>预测公式：</w:t>
      </w:r>
      <w:r>
        <w:rPr>
          <w:rFonts w:hint="eastAsia" w:ascii="Times New Roman" w:hAnsi="Times New Roman" w:eastAsia="仿宋_GB2312" w:cs="Times New Roman"/>
          <w:b/>
          <w:bCs/>
          <w:sz w:val="24"/>
          <w:szCs w:val="32"/>
        </w:rPr>
        <w:t>某市</w:t>
      </w:r>
      <w:r>
        <w:rPr>
          <w:rFonts w:hint="eastAsia" w:ascii="Times New Roman" w:hAnsi="Times New Roman" w:eastAsia="仿宋_GB2312" w:cs="Times New Roman"/>
          <w:b/>
          <w:bCs/>
          <w:sz w:val="24"/>
        </w:rPr>
        <w:t>电动汽车保有量</w:t>
      </w:r>
      <w:r>
        <w:rPr>
          <w:rFonts w:hint="eastAsia" w:ascii="Times New Roman" w:hAnsi="Times New Roman" w:eastAsia="仿宋_GB2312" w:cs="Times New Roman"/>
          <w:b/>
          <w:bCs/>
          <w:sz w:val="24"/>
          <w:szCs w:val="32"/>
        </w:rPr>
        <w:t>省内占比</w:t>
      </w:r>
      <w:r>
        <w:rPr>
          <w:rFonts w:ascii="Times New Roman" w:hAnsi="Times New Roman" w:eastAsia="仿宋_GB2312" w:cs="Times New Roman"/>
          <w:b/>
          <w:bCs/>
          <w:sz w:val="24"/>
        </w:rPr>
        <w:t>=</w:t>
      </w:r>
      <w:r>
        <w:rPr>
          <w:rFonts w:hint="eastAsia" w:ascii="Times New Roman" w:hAnsi="Times New Roman" w:eastAsia="仿宋_GB2312" w:cs="Times New Roman"/>
          <w:b/>
          <w:bCs/>
          <w:sz w:val="24"/>
        </w:rPr>
        <w:t>（</w:t>
      </w:r>
      <w:r>
        <w:rPr>
          <w:rFonts w:hint="eastAsia" w:ascii="Times New Roman" w:hAnsi="Times New Roman" w:eastAsia="仿宋_GB2312" w:cs="Times New Roman"/>
          <w:b/>
          <w:bCs/>
          <w:sz w:val="24"/>
          <w:szCs w:val="32"/>
        </w:rPr>
        <w:t>某市生产总值占比×</w:t>
      </w:r>
      <w:r>
        <w:rPr>
          <w:rFonts w:ascii="Times New Roman" w:hAnsi="Times New Roman" w:eastAsia="仿宋_GB2312" w:cs="Times New Roman"/>
          <w:b/>
          <w:bCs/>
          <w:sz w:val="24"/>
        </w:rPr>
        <w:t>0.</w:t>
      </w:r>
      <w:r>
        <w:rPr>
          <w:rFonts w:ascii="Times New Roman" w:hAnsi="Times New Roman" w:eastAsia="仿宋_GB2312" w:cs="Times New Roman"/>
          <w:b/>
          <w:bCs/>
          <w:sz w:val="24"/>
          <w:szCs w:val="32"/>
        </w:rPr>
        <w:t>5</w:t>
      </w:r>
      <w:r>
        <w:rPr>
          <w:rFonts w:ascii="Times New Roman" w:hAnsi="Times New Roman" w:eastAsia="仿宋_GB2312" w:cs="Times New Roman"/>
          <w:b/>
          <w:bCs/>
          <w:sz w:val="24"/>
        </w:rPr>
        <w:t>+</w:t>
      </w:r>
      <w:r>
        <w:rPr>
          <w:rFonts w:hint="eastAsia" w:ascii="Times New Roman" w:hAnsi="Times New Roman" w:eastAsia="仿宋_GB2312" w:cs="Times New Roman"/>
          <w:b/>
          <w:bCs/>
          <w:sz w:val="24"/>
          <w:szCs w:val="32"/>
        </w:rPr>
        <w:t>某</w:t>
      </w:r>
      <w:r>
        <w:rPr>
          <w:rFonts w:hint="eastAsia" w:ascii="Times New Roman" w:hAnsi="Times New Roman" w:eastAsia="仿宋_GB2312" w:cs="Times New Roman"/>
          <w:b/>
          <w:bCs/>
          <w:sz w:val="24"/>
        </w:rPr>
        <w:t>市汽车保有量</w:t>
      </w:r>
      <w:r>
        <w:rPr>
          <w:rFonts w:hint="eastAsia" w:ascii="Times New Roman" w:hAnsi="Times New Roman" w:eastAsia="仿宋_GB2312" w:cs="Times New Roman"/>
          <w:b/>
          <w:bCs/>
          <w:sz w:val="24"/>
          <w:szCs w:val="32"/>
        </w:rPr>
        <w:t>占比×</w:t>
      </w:r>
      <w:r>
        <w:rPr>
          <w:rFonts w:ascii="Times New Roman" w:hAnsi="Times New Roman" w:eastAsia="仿宋_GB2312" w:cs="Times New Roman"/>
          <w:b/>
          <w:bCs/>
          <w:sz w:val="24"/>
        </w:rPr>
        <w:t>0.5</w:t>
      </w:r>
      <w:r>
        <w:rPr>
          <w:rFonts w:hint="eastAsia" w:ascii="Times New Roman" w:hAnsi="Times New Roman" w:eastAsia="仿宋_GB2312" w:cs="Times New Roman"/>
          <w:b/>
          <w:bCs/>
          <w:sz w:val="24"/>
        </w:rPr>
        <w:t>）</w:t>
      </w:r>
      <w:r>
        <w:rPr>
          <w:rFonts w:hint="eastAsia" w:ascii="Times New Roman" w:hAnsi="Times New Roman" w:eastAsia="仿宋_GB2312" w:cs="Times New Roman"/>
          <w:b/>
          <w:bCs/>
          <w:sz w:val="24"/>
          <w:szCs w:val="32"/>
        </w:rPr>
        <w:t>×购车优惠等政策支持影响因子×自然环境条件影响因子</w:t>
      </w:r>
      <w:r>
        <w:rPr>
          <w:rFonts w:ascii="Times New Roman" w:hAnsi="Times New Roman" w:eastAsia="仿宋_GB2312" w:cs="Times New Roman"/>
          <w:b/>
          <w:bCs/>
          <w:sz w:val="24"/>
          <w:szCs w:val="32"/>
        </w:rPr>
        <w:t>/</w:t>
      </w:r>
      <w:r>
        <w:rPr>
          <w:rFonts w:hint="eastAsia" w:ascii="Times New Roman" w:hAnsi="Times New Roman" w:eastAsia="仿宋_GB2312" w:cs="Times New Roman"/>
          <w:b/>
          <w:bCs/>
          <w:sz w:val="24"/>
          <w:szCs w:val="32"/>
        </w:rPr>
        <w:t>各市分子计算值之和</w:t>
      </w:r>
    </w:p>
    <w:p>
      <w:pPr>
        <w:adjustRightInd w:val="0"/>
        <w:snapToGrid w:val="0"/>
        <w:spacing w:line="580"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由于西安市存在电动汽车购车地方补贴及充电桩建设补贴等诸多优惠政策，西安市政策支持影响因子取</w:t>
      </w: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，其他地市为</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。关中地区地形、气温等自然环境条件较适宜电动汽车使用，陕北、陕南在气温、地形等方面有一定制约，关中地区自然环境条件影响因子取为</w:t>
      </w:r>
      <w:r>
        <w:rPr>
          <w:rFonts w:ascii="Times New Roman" w:hAnsi="Times New Roman" w:eastAsia="仿宋_GB2312" w:cs="Times New Roman"/>
          <w:sz w:val="32"/>
          <w:szCs w:val="32"/>
        </w:rPr>
        <w:t>1.2</w:t>
      </w:r>
      <w:r>
        <w:rPr>
          <w:rFonts w:hint="eastAsia" w:ascii="Times New Roman" w:hAnsi="Times New Roman" w:eastAsia="仿宋_GB2312" w:cs="Times New Roman"/>
          <w:sz w:val="32"/>
          <w:szCs w:val="32"/>
        </w:rPr>
        <w:t>，其他地区为</w:t>
      </w:r>
      <w:r>
        <w:rPr>
          <w:rFonts w:ascii="Times New Roman" w:hAnsi="Times New Roman" w:eastAsia="仿宋_GB2312" w:cs="Times New Roman"/>
          <w:sz w:val="32"/>
          <w:szCs w:val="32"/>
        </w:rPr>
        <w:t>0.6</w:t>
      </w:r>
      <w:r>
        <w:rPr>
          <w:rFonts w:hint="eastAsia" w:ascii="Times New Roman" w:hAnsi="Times New Roman" w:eastAsia="仿宋_GB2312" w:cs="Times New Roman"/>
          <w:sz w:val="32"/>
          <w:szCs w:val="32"/>
        </w:rPr>
        <w:t>。</w:t>
      </w:r>
    </w:p>
    <w:p>
      <w:pPr>
        <w:pStyle w:val="2"/>
        <w:spacing w:line="580" w:lineRule="exact"/>
        <w:ind w:firstLine="442" w:firstLineChars="0"/>
        <w:jc w:val="center"/>
        <w:rPr>
          <w:rFonts w:eastAsia="仿宋_GB2312"/>
          <w:b/>
          <w:bCs/>
          <w:sz w:val="24"/>
        </w:rPr>
      </w:pPr>
      <w:r>
        <w:rPr>
          <w:rFonts w:hint="eastAsia" w:eastAsia="仿宋_GB2312"/>
          <w:b/>
          <w:bCs/>
          <w:sz w:val="24"/>
        </w:rPr>
        <w:t>表23  各地市“十四五”末电动汽车保有量预测</w:t>
      </w:r>
    </w:p>
    <w:tbl>
      <w:tblPr>
        <w:tblStyle w:val="17"/>
        <w:tblW w:w="8336"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998"/>
        <w:gridCol w:w="4046"/>
        <w:gridCol w:w="2292"/>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4" w:hRule="atLeast"/>
          <w:jc w:val="center"/>
        </w:trPr>
        <w:tc>
          <w:tcPr>
            <w:tcW w:w="1998" w:type="dxa"/>
            <w:tcBorders>
              <w:tl2br w:val="nil"/>
              <w:tr2bl w:val="nil"/>
            </w:tcBorders>
            <w:shd w:val="clear" w:color="auto" w:fill="BDD6EE" w:themeFill="accent1" w:themeFillTint="66"/>
            <w:tcMar>
              <w:top w:w="15" w:type="dxa"/>
              <w:left w:w="15" w:type="dxa"/>
              <w:right w:w="15" w:type="dxa"/>
            </w:tcMar>
            <w:vAlign w:val="center"/>
          </w:tcPr>
          <w:p>
            <w:pPr>
              <w:widowControl/>
              <w:spacing w:line="300" w:lineRule="exact"/>
              <w:jc w:val="center"/>
              <w:textAlignment w:val="center"/>
              <w:rPr>
                <w:rFonts w:ascii="仿宋" w:hAnsi="仿宋" w:eastAsia="仿宋" w:cs="Calibri"/>
                <w:szCs w:val="21"/>
              </w:rPr>
            </w:pPr>
            <w:r>
              <w:rPr>
                <w:rFonts w:hint="eastAsia" w:ascii="仿宋" w:hAnsi="仿宋" w:eastAsia="仿宋" w:cs="Calibri"/>
                <w:kern w:val="0"/>
                <w:szCs w:val="21"/>
              </w:rPr>
              <w:t>各市（区）</w:t>
            </w:r>
          </w:p>
        </w:tc>
        <w:tc>
          <w:tcPr>
            <w:tcW w:w="4046" w:type="dxa"/>
            <w:tcBorders>
              <w:tl2br w:val="nil"/>
              <w:tr2bl w:val="nil"/>
            </w:tcBorders>
            <w:shd w:val="clear" w:color="auto" w:fill="BDD6EE" w:themeFill="accent1" w:themeFillTint="66"/>
            <w:tcMar>
              <w:top w:w="15" w:type="dxa"/>
              <w:left w:w="15" w:type="dxa"/>
              <w:right w:w="15" w:type="dxa"/>
            </w:tcMar>
            <w:vAlign w:val="center"/>
          </w:tcPr>
          <w:p>
            <w:pPr>
              <w:widowControl/>
              <w:spacing w:line="300" w:lineRule="exact"/>
              <w:jc w:val="center"/>
              <w:textAlignment w:val="center"/>
              <w:rPr>
                <w:rFonts w:ascii="仿宋" w:hAnsi="仿宋" w:eastAsia="仿宋" w:cs="Calibri"/>
                <w:kern w:val="0"/>
                <w:szCs w:val="21"/>
              </w:rPr>
            </w:pPr>
            <w:r>
              <w:rPr>
                <w:rFonts w:hint="eastAsia" w:ascii="仿宋" w:hAnsi="仿宋" w:eastAsia="仿宋" w:cs="Calibri"/>
                <w:kern w:val="0"/>
                <w:szCs w:val="21"/>
              </w:rPr>
              <w:t>“十四五”末保有量（万辆）</w:t>
            </w:r>
          </w:p>
        </w:tc>
        <w:tc>
          <w:tcPr>
            <w:tcW w:w="2292" w:type="dxa"/>
            <w:tcBorders>
              <w:tl2br w:val="nil"/>
              <w:tr2bl w:val="nil"/>
            </w:tcBorders>
            <w:shd w:val="clear" w:color="auto" w:fill="BDD6EE" w:themeFill="accent1" w:themeFillTint="66"/>
            <w:tcMar>
              <w:top w:w="15" w:type="dxa"/>
              <w:left w:w="15" w:type="dxa"/>
              <w:right w:w="15" w:type="dxa"/>
            </w:tcMar>
            <w:vAlign w:val="center"/>
          </w:tcPr>
          <w:p>
            <w:pPr>
              <w:widowControl/>
              <w:spacing w:line="300" w:lineRule="exact"/>
              <w:jc w:val="center"/>
              <w:textAlignment w:val="center"/>
              <w:rPr>
                <w:rFonts w:ascii="仿宋" w:hAnsi="仿宋" w:eastAsia="仿宋" w:cs="Calibri"/>
                <w:kern w:val="0"/>
                <w:szCs w:val="21"/>
              </w:rPr>
            </w:pPr>
            <w:r>
              <w:rPr>
                <w:rFonts w:hint="eastAsia" w:ascii="仿宋" w:hAnsi="仿宋" w:eastAsia="仿宋" w:cs="Calibri"/>
                <w:kern w:val="0"/>
                <w:szCs w:val="21"/>
              </w:rPr>
              <w:t>占比</w:t>
            </w:r>
            <w:r>
              <w:rPr>
                <w:rFonts w:ascii="仿宋" w:hAnsi="仿宋" w:eastAsia="仿宋" w:cs="Calibri"/>
                <w:kern w:val="0"/>
                <w:szCs w:val="21"/>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95" w:hRule="atLeast"/>
          <w:jc w:val="center"/>
        </w:trPr>
        <w:tc>
          <w:tcPr>
            <w:tcW w:w="1998" w:type="dxa"/>
            <w:tcBorders>
              <w:tl2br w:val="nil"/>
              <w:tr2bl w:val="nil"/>
            </w:tcBorders>
            <w:shd w:val="clear" w:color="auto" w:fill="auto"/>
            <w:tcMar>
              <w:top w:w="15" w:type="dxa"/>
              <w:left w:w="15" w:type="dxa"/>
              <w:right w:w="15" w:type="dxa"/>
            </w:tcMar>
            <w:vAlign w:val="center"/>
          </w:tcPr>
          <w:p>
            <w:pPr>
              <w:widowControl/>
              <w:spacing w:line="300" w:lineRule="exact"/>
              <w:jc w:val="center"/>
              <w:textAlignment w:val="center"/>
              <w:rPr>
                <w:rFonts w:ascii="仿宋" w:hAnsi="仿宋" w:eastAsia="仿宋" w:cs="Calibri"/>
                <w:szCs w:val="21"/>
              </w:rPr>
            </w:pPr>
            <w:r>
              <w:rPr>
                <w:rFonts w:hint="eastAsia" w:ascii="仿宋" w:hAnsi="仿宋" w:eastAsia="仿宋" w:cs="Calibri"/>
                <w:kern w:val="0"/>
                <w:szCs w:val="21"/>
              </w:rPr>
              <w:t>西安市</w:t>
            </w:r>
          </w:p>
        </w:tc>
        <w:tc>
          <w:tcPr>
            <w:tcW w:w="4046" w:type="dxa"/>
            <w:tcBorders>
              <w:tl2br w:val="nil"/>
              <w:tr2bl w:val="nil"/>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宋体" w:cs="Times New Roman"/>
                <w:kern w:val="0"/>
                <w:sz w:val="22"/>
                <w:szCs w:val="22"/>
              </w:rPr>
            </w:pPr>
            <w:r>
              <w:rPr>
                <w:rFonts w:ascii="Times New Roman" w:hAnsi="Times New Roman" w:eastAsia="宋体" w:cs="Times New Roman"/>
                <w:kern w:val="0"/>
                <w:sz w:val="22"/>
                <w:szCs w:val="22"/>
              </w:rPr>
              <w:t>40.83</w:t>
            </w:r>
          </w:p>
        </w:tc>
        <w:tc>
          <w:tcPr>
            <w:tcW w:w="2292" w:type="dxa"/>
            <w:tcBorders>
              <w:tl2br w:val="nil"/>
              <w:tr2bl w:val="nil"/>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宋体" w:cs="Times New Roman"/>
                <w:kern w:val="0"/>
                <w:sz w:val="22"/>
                <w:szCs w:val="22"/>
              </w:rPr>
            </w:pPr>
            <w:r>
              <w:rPr>
                <w:rFonts w:ascii="Times New Roman" w:hAnsi="Times New Roman" w:eastAsia="宋体" w:cs="Times New Roman"/>
                <w:kern w:val="0"/>
                <w:sz w:val="22"/>
                <w:szCs w:val="22"/>
              </w:rPr>
              <w:t>68.0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5" w:hRule="atLeast"/>
          <w:jc w:val="center"/>
        </w:trPr>
        <w:tc>
          <w:tcPr>
            <w:tcW w:w="1998" w:type="dxa"/>
            <w:tcBorders>
              <w:tl2br w:val="nil"/>
              <w:tr2bl w:val="nil"/>
            </w:tcBorders>
            <w:shd w:val="clear" w:color="auto" w:fill="auto"/>
            <w:tcMar>
              <w:top w:w="15" w:type="dxa"/>
              <w:left w:w="15" w:type="dxa"/>
              <w:right w:w="15" w:type="dxa"/>
            </w:tcMar>
            <w:vAlign w:val="center"/>
          </w:tcPr>
          <w:p>
            <w:pPr>
              <w:widowControl/>
              <w:spacing w:line="300" w:lineRule="exact"/>
              <w:jc w:val="center"/>
              <w:textAlignment w:val="center"/>
              <w:rPr>
                <w:rFonts w:ascii="仿宋" w:hAnsi="仿宋" w:eastAsia="仿宋" w:cs="Calibri"/>
                <w:szCs w:val="21"/>
              </w:rPr>
            </w:pPr>
            <w:r>
              <w:rPr>
                <w:rFonts w:hint="eastAsia" w:ascii="仿宋" w:hAnsi="仿宋" w:eastAsia="仿宋" w:cs="Calibri"/>
                <w:kern w:val="0"/>
                <w:szCs w:val="21"/>
              </w:rPr>
              <w:t>铜川市</w:t>
            </w:r>
          </w:p>
        </w:tc>
        <w:tc>
          <w:tcPr>
            <w:tcW w:w="4046" w:type="dxa"/>
            <w:tcBorders>
              <w:tl2br w:val="nil"/>
              <w:tr2bl w:val="nil"/>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宋体" w:cs="Times New Roman"/>
                <w:kern w:val="0"/>
                <w:sz w:val="22"/>
                <w:szCs w:val="22"/>
              </w:rPr>
            </w:pPr>
            <w:r>
              <w:rPr>
                <w:rFonts w:ascii="Times New Roman" w:hAnsi="Times New Roman" w:eastAsia="宋体" w:cs="Times New Roman"/>
                <w:kern w:val="0"/>
                <w:sz w:val="22"/>
                <w:szCs w:val="22"/>
              </w:rPr>
              <w:t>0.67</w:t>
            </w:r>
          </w:p>
        </w:tc>
        <w:tc>
          <w:tcPr>
            <w:tcW w:w="2292" w:type="dxa"/>
            <w:tcBorders>
              <w:tl2br w:val="nil"/>
              <w:tr2bl w:val="nil"/>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宋体" w:cs="Times New Roman"/>
                <w:kern w:val="0"/>
                <w:sz w:val="22"/>
                <w:szCs w:val="22"/>
              </w:rPr>
            </w:pPr>
            <w:r>
              <w:rPr>
                <w:rFonts w:ascii="Times New Roman" w:hAnsi="Times New Roman" w:eastAsia="宋体" w:cs="Times New Roman"/>
                <w:kern w:val="0"/>
                <w:sz w:val="22"/>
                <w:szCs w:val="22"/>
              </w:rPr>
              <w:t>1.1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5" w:hRule="atLeast"/>
          <w:jc w:val="center"/>
        </w:trPr>
        <w:tc>
          <w:tcPr>
            <w:tcW w:w="1998" w:type="dxa"/>
            <w:tcBorders>
              <w:tl2br w:val="nil"/>
              <w:tr2bl w:val="nil"/>
            </w:tcBorders>
            <w:shd w:val="clear" w:color="auto" w:fill="auto"/>
            <w:tcMar>
              <w:top w:w="15" w:type="dxa"/>
              <w:left w:w="15" w:type="dxa"/>
              <w:right w:w="15" w:type="dxa"/>
            </w:tcMar>
            <w:vAlign w:val="center"/>
          </w:tcPr>
          <w:p>
            <w:pPr>
              <w:widowControl/>
              <w:spacing w:line="300" w:lineRule="exact"/>
              <w:jc w:val="center"/>
              <w:textAlignment w:val="center"/>
              <w:rPr>
                <w:rFonts w:ascii="仿宋" w:hAnsi="仿宋" w:eastAsia="仿宋" w:cs="Calibri"/>
                <w:szCs w:val="21"/>
              </w:rPr>
            </w:pPr>
            <w:r>
              <w:rPr>
                <w:rFonts w:hint="eastAsia" w:ascii="仿宋" w:hAnsi="仿宋" w:eastAsia="仿宋" w:cs="Calibri"/>
                <w:kern w:val="0"/>
                <w:szCs w:val="21"/>
              </w:rPr>
              <w:t>宝鸡市</w:t>
            </w:r>
          </w:p>
        </w:tc>
        <w:tc>
          <w:tcPr>
            <w:tcW w:w="4046" w:type="dxa"/>
            <w:tcBorders>
              <w:tl2br w:val="nil"/>
              <w:tr2bl w:val="nil"/>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宋体" w:cs="Times New Roman"/>
                <w:kern w:val="0"/>
                <w:sz w:val="22"/>
                <w:szCs w:val="22"/>
              </w:rPr>
            </w:pPr>
            <w:r>
              <w:rPr>
                <w:rFonts w:ascii="Times New Roman" w:hAnsi="Times New Roman" w:eastAsia="宋体" w:cs="Times New Roman"/>
                <w:kern w:val="0"/>
                <w:sz w:val="22"/>
                <w:szCs w:val="22"/>
              </w:rPr>
              <w:t>3.41</w:t>
            </w:r>
          </w:p>
        </w:tc>
        <w:tc>
          <w:tcPr>
            <w:tcW w:w="2292" w:type="dxa"/>
            <w:tcBorders>
              <w:tl2br w:val="nil"/>
              <w:tr2bl w:val="nil"/>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宋体" w:cs="Times New Roman"/>
                <w:kern w:val="0"/>
                <w:sz w:val="22"/>
                <w:szCs w:val="22"/>
              </w:rPr>
            </w:pPr>
            <w:r>
              <w:rPr>
                <w:rFonts w:ascii="Times New Roman" w:hAnsi="Times New Roman" w:eastAsia="宋体" w:cs="Times New Roman"/>
                <w:kern w:val="0"/>
                <w:sz w:val="22"/>
                <w:szCs w:val="22"/>
              </w:rPr>
              <w:t>5.7</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5" w:hRule="atLeast"/>
          <w:jc w:val="center"/>
        </w:trPr>
        <w:tc>
          <w:tcPr>
            <w:tcW w:w="1998" w:type="dxa"/>
            <w:tcBorders>
              <w:tl2br w:val="nil"/>
              <w:tr2bl w:val="nil"/>
            </w:tcBorders>
            <w:shd w:val="clear" w:color="auto" w:fill="auto"/>
            <w:tcMar>
              <w:top w:w="15" w:type="dxa"/>
              <w:left w:w="15" w:type="dxa"/>
              <w:right w:w="15" w:type="dxa"/>
            </w:tcMar>
            <w:vAlign w:val="center"/>
          </w:tcPr>
          <w:p>
            <w:pPr>
              <w:widowControl/>
              <w:spacing w:line="300" w:lineRule="exact"/>
              <w:jc w:val="center"/>
              <w:textAlignment w:val="center"/>
              <w:rPr>
                <w:rFonts w:ascii="仿宋" w:hAnsi="仿宋" w:eastAsia="仿宋" w:cs="Calibri"/>
                <w:szCs w:val="21"/>
              </w:rPr>
            </w:pPr>
            <w:r>
              <w:rPr>
                <w:rFonts w:hint="eastAsia" w:ascii="仿宋" w:hAnsi="仿宋" w:eastAsia="仿宋" w:cs="Calibri"/>
                <w:kern w:val="0"/>
                <w:szCs w:val="21"/>
              </w:rPr>
              <w:t>咸阳市</w:t>
            </w:r>
          </w:p>
        </w:tc>
        <w:tc>
          <w:tcPr>
            <w:tcW w:w="4046" w:type="dxa"/>
            <w:tcBorders>
              <w:tl2br w:val="nil"/>
              <w:tr2bl w:val="nil"/>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宋体" w:cs="Times New Roman"/>
                <w:kern w:val="0"/>
                <w:sz w:val="22"/>
                <w:szCs w:val="22"/>
              </w:rPr>
            </w:pPr>
            <w:r>
              <w:rPr>
                <w:rFonts w:ascii="Times New Roman" w:hAnsi="Times New Roman" w:eastAsia="宋体" w:cs="Times New Roman"/>
                <w:kern w:val="0"/>
                <w:sz w:val="22"/>
                <w:szCs w:val="22"/>
              </w:rPr>
              <w:t>3.6</w:t>
            </w:r>
          </w:p>
        </w:tc>
        <w:tc>
          <w:tcPr>
            <w:tcW w:w="2292" w:type="dxa"/>
            <w:tcBorders>
              <w:tl2br w:val="nil"/>
              <w:tr2bl w:val="nil"/>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宋体" w:cs="Times New Roman"/>
                <w:kern w:val="0"/>
                <w:sz w:val="22"/>
                <w:szCs w:val="22"/>
              </w:rPr>
            </w:pPr>
            <w:r>
              <w:rPr>
                <w:rFonts w:ascii="Times New Roman" w:hAnsi="Times New Roman" w:eastAsia="宋体" w:cs="Times New Roman"/>
                <w:kern w:val="0"/>
                <w:sz w:val="22"/>
                <w:szCs w:val="22"/>
              </w:rPr>
              <w:t>6.0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5" w:hRule="atLeast"/>
          <w:jc w:val="center"/>
        </w:trPr>
        <w:tc>
          <w:tcPr>
            <w:tcW w:w="1998" w:type="dxa"/>
            <w:tcBorders>
              <w:tl2br w:val="nil"/>
              <w:tr2bl w:val="nil"/>
            </w:tcBorders>
            <w:shd w:val="clear" w:color="auto" w:fill="auto"/>
            <w:tcMar>
              <w:top w:w="15" w:type="dxa"/>
              <w:left w:w="15" w:type="dxa"/>
              <w:right w:w="15" w:type="dxa"/>
            </w:tcMar>
            <w:vAlign w:val="center"/>
          </w:tcPr>
          <w:p>
            <w:pPr>
              <w:widowControl/>
              <w:spacing w:line="300" w:lineRule="exact"/>
              <w:jc w:val="center"/>
              <w:textAlignment w:val="center"/>
              <w:rPr>
                <w:rFonts w:ascii="仿宋" w:hAnsi="仿宋" w:eastAsia="仿宋" w:cs="Calibri"/>
                <w:szCs w:val="21"/>
              </w:rPr>
            </w:pPr>
            <w:r>
              <w:rPr>
                <w:rFonts w:hint="eastAsia" w:ascii="仿宋" w:hAnsi="仿宋" w:eastAsia="仿宋" w:cs="Calibri"/>
                <w:kern w:val="0"/>
                <w:szCs w:val="21"/>
              </w:rPr>
              <w:t>渭南市</w:t>
            </w:r>
          </w:p>
        </w:tc>
        <w:tc>
          <w:tcPr>
            <w:tcW w:w="4046" w:type="dxa"/>
            <w:tcBorders>
              <w:tl2br w:val="nil"/>
              <w:tr2bl w:val="nil"/>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宋体" w:cs="Times New Roman"/>
                <w:kern w:val="0"/>
                <w:sz w:val="22"/>
                <w:szCs w:val="22"/>
              </w:rPr>
            </w:pPr>
            <w:r>
              <w:rPr>
                <w:rFonts w:ascii="Times New Roman" w:hAnsi="Times New Roman" w:eastAsia="宋体" w:cs="Times New Roman"/>
                <w:kern w:val="0"/>
                <w:sz w:val="22"/>
                <w:szCs w:val="22"/>
              </w:rPr>
              <w:t>3.76</w:t>
            </w:r>
          </w:p>
        </w:tc>
        <w:tc>
          <w:tcPr>
            <w:tcW w:w="2292" w:type="dxa"/>
            <w:tcBorders>
              <w:tl2br w:val="nil"/>
              <w:tr2bl w:val="nil"/>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宋体" w:cs="Times New Roman"/>
                <w:kern w:val="0"/>
                <w:sz w:val="22"/>
                <w:szCs w:val="22"/>
              </w:rPr>
            </w:pPr>
            <w:r>
              <w:rPr>
                <w:rFonts w:ascii="Times New Roman" w:hAnsi="Times New Roman" w:eastAsia="宋体" w:cs="Times New Roman"/>
                <w:kern w:val="0"/>
                <w:sz w:val="22"/>
                <w:szCs w:val="22"/>
              </w:rPr>
              <w:t>6.3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25" w:hRule="atLeast"/>
          <w:jc w:val="center"/>
        </w:trPr>
        <w:tc>
          <w:tcPr>
            <w:tcW w:w="1998" w:type="dxa"/>
            <w:tcBorders>
              <w:tl2br w:val="nil"/>
              <w:tr2bl w:val="nil"/>
            </w:tcBorders>
            <w:shd w:val="clear" w:color="auto" w:fill="auto"/>
            <w:tcMar>
              <w:top w:w="15" w:type="dxa"/>
              <w:left w:w="15" w:type="dxa"/>
              <w:right w:w="15" w:type="dxa"/>
            </w:tcMar>
            <w:vAlign w:val="center"/>
          </w:tcPr>
          <w:p>
            <w:pPr>
              <w:widowControl/>
              <w:spacing w:line="300" w:lineRule="exact"/>
              <w:jc w:val="center"/>
              <w:textAlignment w:val="center"/>
              <w:rPr>
                <w:rFonts w:ascii="仿宋" w:hAnsi="仿宋" w:eastAsia="仿宋" w:cs="Calibri"/>
                <w:szCs w:val="21"/>
              </w:rPr>
            </w:pPr>
            <w:r>
              <w:rPr>
                <w:rFonts w:hint="eastAsia" w:ascii="仿宋" w:hAnsi="仿宋" w:eastAsia="仿宋" w:cs="Calibri"/>
                <w:kern w:val="0"/>
                <w:szCs w:val="21"/>
              </w:rPr>
              <w:t>杨凌示范区</w:t>
            </w:r>
          </w:p>
        </w:tc>
        <w:tc>
          <w:tcPr>
            <w:tcW w:w="4046" w:type="dxa"/>
            <w:tcBorders>
              <w:tl2br w:val="nil"/>
              <w:tr2bl w:val="nil"/>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宋体" w:cs="Times New Roman"/>
                <w:kern w:val="0"/>
                <w:sz w:val="22"/>
                <w:szCs w:val="22"/>
              </w:rPr>
            </w:pPr>
            <w:r>
              <w:rPr>
                <w:rFonts w:ascii="Times New Roman" w:hAnsi="Times New Roman" w:eastAsia="宋体" w:cs="Times New Roman"/>
                <w:kern w:val="0"/>
                <w:sz w:val="22"/>
                <w:szCs w:val="22"/>
              </w:rPr>
              <w:t>0.39</w:t>
            </w:r>
          </w:p>
        </w:tc>
        <w:tc>
          <w:tcPr>
            <w:tcW w:w="2292" w:type="dxa"/>
            <w:tcBorders>
              <w:tl2br w:val="nil"/>
              <w:tr2bl w:val="nil"/>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宋体" w:cs="Times New Roman"/>
                <w:kern w:val="0"/>
                <w:sz w:val="22"/>
                <w:szCs w:val="22"/>
              </w:rPr>
            </w:pPr>
            <w:r>
              <w:rPr>
                <w:rFonts w:ascii="Times New Roman" w:hAnsi="Times New Roman" w:eastAsia="宋体" w:cs="Times New Roman"/>
                <w:kern w:val="0"/>
                <w:sz w:val="22"/>
                <w:szCs w:val="22"/>
              </w:rPr>
              <w:t>0.6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00" w:hRule="atLeast"/>
          <w:jc w:val="center"/>
        </w:trPr>
        <w:tc>
          <w:tcPr>
            <w:tcW w:w="1998" w:type="dxa"/>
            <w:tcBorders>
              <w:tl2br w:val="nil"/>
              <w:tr2bl w:val="nil"/>
            </w:tcBorders>
            <w:shd w:val="clear" w:color="auto" w:fill="BDD6EE" w:themeFill="accent1" w:themeFillTint="66"/>
            <w:tcMar>
              <w:top w:w="15" w:type="dxa"/>
              <w:left w:w="15" w:type="dxa"/>
              <w:right w:w="15" w:type="dxa"/>
            </w:tcMar>
            <w:vAlign w:val="center"/>
          </w:tcPr>
          <w:p>
            <w:pPr>
              <w:widowControl/>
              <w:spacing w:line="300" w:lineRule="exact"/>
              <w:jc w:val="center"/>
              <w:textAlignment w:val="center"/>
              <w:rPr>
                <w:rFonts w:ascii="仿宋" w:hAnsi="仿宋" w:eastAsia="仿宋" w:cs="宋体"/>
                <w:szCs w:val="21"/>
              </w:rPr>
            </w:pPr>
            <w:r>
              <w:rPr>
                <w:rFonts w:hint="eastAsia" w:ascii="仿宋" w:hAnsi="仿宋" w:eastAsia="仿宋" w:cs="Calibri"/>
                <w:kern w:val="0"/>
                <w:szCs w:val="21"/>
              </w:rPr>
              <w:t>关中</w:t>
            </w:r>
          </w:p>
        </w:tc>
        <w:tc>
          <w:tcPr>
            <w:tcW w:w="4046" w:type="dxa"/>
            <w:tcBorders>
              <w:tl2br w:val="nil"/>
              <w:tr2bl w:val="nil"/>
            </w:tcBorders>
            <w:shd w:val="clear" w:color="auto" w:fill="BDD6EE" w:themeFill="accent1" w:themeFillTint="66"/>
            <w:tcMar>
              <w:top w:w="15" w:type="dxa"/>
              <w:left w:w="15" w:type="dxa"/>
              <w:right w:w="15" w:type="dxa"/>
            </w:tcMar>
            <w:vAlign w:val="center"/>
          </w:tcPr>
          <w:p>
            <w:pPr>
              <w:widowControl/>
              <w:spacing w:line="300" w:lineRule="exact"/>
              <w:jc w:val="center"/>
              <w:textAlignment w:val="center"/>
              <w:rPr>
                <w:rFonts w:ascii="Times New Roman" w:hAnsi="Times New Roman" w:eastAsia="宋体" w:cs="Times New Roman"/>
                <w:kern w:val="0"/>
                <w:sz w:val="22"/>
                <w:szCs w:val="22"/>
              </w:rPr>
            </w:pPr>
            <w:r>
              <w:rPr>
                <w:rFonts w:ascii="Times New Roman" w:hAnsi="Times New Roman" w:eastAsia="宋体" w:cs="Times New Roman"/>
                <w:kern w:val="0"/>
                <w:sz w:val="22"/>
                <w:szCs w:val="22"/>
              </w:rPr>
              <w:t>52.66</w:t>
            </w:r>
          </w:p>
        </w:tc>
        <w:tc>
          <w:tcPr>
            <w:tcW w:w="2292" w:type="dxa"/>
            <w:tcBorders>
              <w:tl2br w:val="nil"/>
              <w:tr2bl w:val="nil"/>
            </w:tcBorders>
            <w:shd w:val="clear" w:color="auto" w:fill="BDD6EE" w:themeFill="accent1" w:themeFillTint="66"/>
            <w:tcMar>
              <w:top w:w="15" w:type="dxa"/>
              <w:left w:w="15" w:type="dxa"/>
              <w:right w:w="15" w:type="dxa"/>
            </w:tcMar>
            <w:vAlign w:val="center"/>
          </w:tcPr>
          <w:p>
            <w:pPr>
              <w:widowControl/>
              <w:spacing w:line="300" w:lineRule="exact"/>
              <w:jc w:val="center"/>
              <w:textAlignment w:val="center"/>
              <w:rPr>
                <w:rFonts w:ascii="Times New Roman" w:hAnsi="Times New Roman" w:eastAsia="宋体" w:cs="Times New Roman"/>
                <w:kern w:val="0"/>
                <w:sz w:val="22"/>
                <w:szCs w:val="22"/>
              </w:rPr>
            </w:pPr>
            <w:r>
              <w:rPr>
                <w:rFonts w:ascii="Times New Roman" w:hAnsi="Times New Roman" w:eastAsia="宋体" w:cs="Times New Roman"/>
                <w:kern w:val="0"/>
                <w:sz w:val="22"/>
                <w:szCs w:val="22"/>
              </w:rPr>
              <w:t>87.7</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5" w:hRule="atLeast"/>
          <w:jc w:val="center"/>
        </w:trPr>
        <w:tc>
          <w:tcPr>
            <w:tcW w:w="1998" w:type="dxa"/>
            <w:tcBorders>
              <w:tl2br w:val="nil"/>
              <w:tr2bl w:val="nil"/>
            </w:tcBorders>
            <w:shd w:val="clear" w:color="auto" w:fill="auto"/>
            <w:tcMar>
              <w:top w:w="15" w:type="dxa"/>
              <w:left w:w="15" w:type="dxa"/>
              <w:right w:w="15" w:type="dxa"/>
            </w:tcMar>
            <w:vAlign w:val="center"/>
          </w:tcPr>
          <w:p>
            <w:pPr>
              <w:widowControl/>
              <w:spacing w:line="300" w:lineRule="exact"/>
              <w:jc w:val="center"/>
              <w:textAlignment w:val="center"/>
              <w:rPr>
                <w:rFonts w:ascii="仿宋" w:hAnsi="仿宋" w:eastAsia="仿宋" w:cs="Calibri"/>
                <w:szCs w:val="21"/>
              </w:rPr>
            </w:pPr>
            <w:r>
              <w:rPr>
                <w:rFonts w:hint="eastAsia" w:ascii="仿宋" w:hAnsi="仿宋" w:eastAsia="仿宋" w:cs="Calibri"/>
                <w:kern w:val="0"/>
                <w:szCs w:val="21"/>
              </w:rPr>
              <w:t>汉中市</w:t>
            </w:r>
          </w:p>
        </w:tc>
        <w:tc>
          <w:tcPr>
            <w:tcW w:w="4046" w:type="dxa"/>
            <w:tcBorders>
              <w:tl2br w:val="nil"/>
              <w:tr2bl w:val="nil"/>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宋体" w:cs="Times New Roman"/>
                <w:kern w:val="0"/>
                <w:sz w:val="22"/>
                <w:szCs w:val="22"/>
              </w:rPr>
            </w:pPr>
            <w:r>
              <w:rPr>
                <w:rFonts w:ascii="Times New Roman" w:hAnsi="Times New Roman" w:eastAsia="宋体" w:cs="Times New Roman"/>
                <w:kern w:val="0"/>
                <w:sz w:val="22"/>
                <w:szCs w:val="22"/>
              </w:rPr>
              <w:t>1.29</w:t>
            </w:r>
          </w:p>
        </w:tc>
        <w:tc>
          <w:tcPr>
            <w:tcW w:w="2292" w:type="dxa"/>
            <w:tcBorders>
              <w:tl2br w:val="nil"/>
              <w:tr2bl w:val="nil"/>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宋体" w:cs="Times New Roman"/>
                <w:kern w:val="0"/>
                <w:sz w:val="22"/>
                <w:szCs w:val="22"/>
              </w:rPr>
            </w:pPr>
            <w:r>
              <w:rPr>
                <w:rFonts w:ascii="Times New Roman" w:hAnsi="Times New Roman" w:eastAsia="宋体" w:cs="Times New Roman"/>
                <w:kern w:val="0"/>
                <w:sz w:val="22"/>
                <w:szCs w:val="22"/>
              </w:rPr>
              <w:t>2.1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5" w:hRule="atLeast"/>
          <w:jc w:val="center"/>
        </w:trPr>
        <w:tc>
          <w:tcPr>
            <w:tcW w:w="1998" w:type="dxa"/>
            <w:tcBorders>
              <w:tl2br w:val="nil"/>
              <w:tr2bl w:val="nil"/>
            </w:tcBorders>
            <w:shd w:val="clear" w:color="auto" w:fill="auto"/>
            <w:tcMar>
              <w:top w:w="15" w:type="dxa"/>
              <w:left w:w="15" w:type="dxa"/>
              <w:right w:w="15" w:type="dxa"/>
            </w:tcMar>
            <w:vAlign w:val="center"/>
          </w:tcPr>
          <w:p>
            <w:pPr>
              <w:widowControl/>
              <w:spacing w:line="300" w:lineRule="exact"/>
              <w:jc w:val="center"/>
              <w:textAlignment w:val="center"/>
              <w:rPr>
                <w:rFonts w:ascii="仿宋" w:hAnsi="仿宋" w:eastAsia="仿宋" w:cs="Calibri"/>
                <w:szCs w:val="21"/>
              </w:rPr>
            </w:pPr>
            <w:r>
              <w:rPr>
                <w:rFonts w:hint="eastAsia" w:ascii="仿宋" w:hAnsi="仿宋" w:eastAsia="仿宋" w:cs="Calibri"/>
                <w:kern w:val="0"/>
                <w:szCs w:val="21"/>
              </w:rPr>
              <w:t>安康市</w:t>
            </w:r>
          </w:p>
        </w:tc>
        <w:tc>
          <w:tcPr>
            <w:tcW w:w="4046" w:type="dxa"/>
            <w:tcBorders>
              <w:tl2br w:val="nil"/>
              <w:tr2bl w:val="nil"/>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宋体" w:cs="Times New Roman"/>
                <w:kern w:val="0"/>
                <w:sz w:val="22"/>
                <w:szCs w:val="22"/>
              </w:rPr>
            </w:pPr>
            <w:r>
              <w:rPr>
                <w:rFonts w:ascii="Times New Roman" w:hAnsi="Times New Roman" w:eastAsia="宋体" w:cs="Times New Roman"/>
                <w:kern w:val="0"/>
                <w:sz w:val="22"/>
                <w:szCs w:val="22"/>
              </w:rPr>
              <w:t>0.89</w:t>
            </w:r>
          </w:p>
        </w:tc>
        <w:tc>
          <w:tcPr>
            <w:tcW w:w="2292" w:type="dxa"/>
            <w:tcBorders>
              <w:tl2br w:val="nil"/>
              <w:tr2bl w:val="nil"/>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宋体" w:cs="Times New Roman"/>
                <w:kern w:val="0"/>
                <w:sz w:val="22"/>
                <w:szCs w:val="22"/>
              </w:rPr>
            </w:pPr>
            <w:r>
              <w:rPr>
                <w:rFonts w:ascii="Times New Roman" w:hAnsi="Times New Roman" w:eastAsia="宋体" w:cs="Times New Roman"/>
                <w:kern w:val="0"/>
                <w:sz w:val="22"/>
                <w:szCs w:val="22"/>
              </w:rPr>
              <w:t>1.5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5" w:hRule="atLeast"/>
          <w:jc w:val="center"/>
        </w:trPr>
        <w:tc>
          <w:tcPr>
            <w:tcW w:w="1998" w:type="dxa"/>
            <w:tcBorders>
              <w:tl2br w:val="nil"/>
              <w:tr2bl w:val="nil"/>
            </w:tcBorders>
            <w:shd w:val="clear" w:color="auto" w:fill="auto"/>
            <w:tcMar>
              <w:top w:w="15" w:type="dxa"/>
              <w:left w:w="15" w:type="dxa"/>
              <w:right w:w="15" w:type="dxa"/>
            </w:tcMar>
            <w:vAlign w:val="center"/>
          </w:tcPr>
          <w:p>
            <w:pPr>
              <w:widowControl/>
              <w:spacing w:line="300" w:lineRule="exact"/>
              <w:jc w:val="center"/>
              <w:textAlignment w:val="center"/>
              <w:rPr>
                <w:rFonts w:ascii="仿宋" w:hAnsi="仿宋" w:eastAsia="仿宋" w:cs="Calibri"/>
                <w:szCs w:val="21"/>
              </w:rPr>
            </w:pPr>
            <w:r>
              <w:rPr>
                <w:rFonts w:hint="eastAsia" w:ascii="仿宋" w:hAnsi="仿宋" w:eastAsia="仿宋" w:cs="Calibri"/>
                <w:kern w:val="0"/>
                <w:szCs w:val="21"/>
              </w:rPr>
              <w:t>商洛市</w:t>
            </w:r>
          </w:p>
        </w:tc>
        <w:tc>
          <w:tcPr>
            <w:tcW w:w="4046" w:type="dxa"/>
            <w:tcBorders>
              <w:tl2br w:val="nil"/>
              <w:tr2bl w:val="nil"/>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宋体" w:cs="Times New Roman"/>
                <w:kern w:val="0"/>
                <w:sz w:val="22"/>
                <w:szCs w:val="22"/>
              </w:rPr>
            </w:pPr>
            <w:r>
              <w:rPr>
                <w:rFonts w:ascii="Times New Roman" w:hAnsi="Times New Roman" w:eastAsia="宋体" w:cs="Times New Roman"/>
                <w:kern w:val="0"/>
                <w:sz w:val="22"/>
                <w:szCs w:val="22"/>
              </w:rPr>
              <w:t>0.57</w:t>
            </w:r>
          </w:p>
        </w:tc>
        <w:tc>
          <w:tcPr>
            <w:tcW w:w="2292" w:type="dxa"/>
            <w:tcBorders>
              <w:tl2br w:val="nil"/>
              <w:tr2bl w:val="nil"/>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宋体" w:cs="Times New Roman"/>
                <w:kern w:val="0"/>
                <w:sz w:val="22"/>
                <w:szCs w:val="22"/>
              </w:rPr>
            </w:pPr>
            <w:r>
              <w:rPr>
                <w:rFonts w:ascii="Times New Roman" w:hAnsi="Times New Roman" w:eastAsia="宋体" w:cs="Times New Roman"/>
                <w:kern w:val="0"/>
                <w:sz w:val="22"/>
                <w:szCs w:val="22"/>
              </w:rPr>
              <w:t>1.0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00" w:hRule="atLeast"/>
          <w:jc w:val="center"/>
        </w:trPr>
        <w:tc>
          <w:tcPr>
            <w:tcW w:w="1998" w:type="dxa"/>
            <w:tcBorders>
              <w:tl2br w:val="nil"/>
              <w:tr2bl w:val="nil"/>
            </w:tcBorders>
            <w:shd w:val="clear" w:color="auto" w:fill="BDD6EE" w:themeFill="accent1" w:themeFillTint="66"/>
            <w:tcMar>
              <w:top w:w="15" w:type="dxa"/>
              <w:left w:w="15" w:type="dxa"/>
              <w:right w:w="15" w:type="dxa"/>
            </w:tcMar>
            <w:vAlign w:val="center"/>
          </w:tcPr>
          <w:p>
            <w:pPr>
              <w:widowControl/>
              <w:spacing w:line="300" w:lineRule="exact"/>
              <w:jc w:val="center"/>
              <w:textAlignment w:val="center"/>
              <w:rPr>
                <w:rFonts w:ascii="仿宋" w:hAnsi="仿宋" w:eastAsia="仿宋" w:cs="宋体"/>
                <w:szCs w:val="21"/>
              </w:rPr>
            </w:pPr>
            <w:r>
              <w:rPr>
                <w:rFonts w:hint="eastAsia" w:ascii="仿宋" w:hAnsi="仿宋" w:eastAsia="仿宋" w:cs="宋体"/>
                <w:kern w:val="0"/>
                <w:szCs w:val="21"/>
              </w:rPr>
              <w:t>陕南</w:t>
            </w:r>
          </w:p>
        </w:tc>
        <w:tc>
          <w:tcPr>
            <w:tcW w:w="4046" w:type="dxa"/>
            <w:tcBorders>
              <w:tl2br w:val="nil"/>
              <w:tr2bl w:val="nil"/>
            </w:tcBorders>
            <w:shd w:val="clear" w:color="auto" w:fill="BDD6EE" w:themeFill="accent1" w:themeFillTint="66"/>
            <w:tcMar>
              <w:top w:w="15" w:type="dxa"/>
              <w:left w:w="15" w:type="dxa"/>
              <w:right w:w="15" w:type="dxa"/>
            </w:tcMar>
            <w:vAlign w:val="center"/>
          </w:tcPr>
          <w:p>
            <w:pPr>
              <w:widowControl/>
              <w:spacing w:line="300" w:lineRule="exact"/>
              <w:jc w:val="center"/>
              <w:textAlignment w:val="center"/>
              <w:rPr>
                <w:rFonts w:ascii="Times New Roman" w:hAnsi="Times New Roman" w:eastAsia="宋体" w:cs="Times New Roman"/>
                <w:kern w:val="0"/>
                <w:sz w:val="22"/>
                <w:szCs w:val="22"/>
              </w:rPr>
            </w:pPr>
            <w:r>
              <w:rPr>
                <w:rFonts w:ascii="Times New Roman" w:hAnsi="Times New Roman" w:eastAsia="宋体" w:cs="Times New Roman"/>
                <w:kern w:val="0"/>
                <w:sz w:val="22"/>
                <w:szCs w:val="22"/>
              </w:rPr>
              <w:t>2.75</w:t>
            </w:r>
          </w:p>
        </w:tc>
        <w:tc>
          <w:tcPr>
            <w:tcW w:w="2292" w:type="dxa"/>
            <w:tcBorders>
              <w:tl2br w:val="nil"/>
              <w:tr2bl w:val="nil"/>
            </w:tcBorders>
            <w:shd w:val="clear" w:color="auto" w:fill="BDD6EE" w:themeFill="accent1" w:themeFillTint="66"/>
            <w:tcMar>
              <w:top w:w="15" w:type="dxa"/>
              <w:left w:w="15" w:type="dxa"/>
              <w:right w:w="15" w:type="dxa"/>
            </w:tcMar>
            <w:vAlign w:val="center"/>
          </w:tcPr>
          <w:p>
            <w:pPr>
              <w:widowControl/>
              <w:spacing w:line="300" w:lineRule="exact"/>
              <w:jc w:val="center"/>
              <w:textAlignment w:val="center"/>
              <w:rPr>
                <w:rFonts w:ascii="Times New Roman" w:hAnsi="Times New Roman" w:eastAsia="宋体" w:cs="Times New Roman"/>
                <w:kern w:val="0"/>
                <w:sz w:val="22"/>
                <w:szCs w:val="22"/>
              </w:rPr>
            </w:pPr>
            <w:r>
              <w:rPr>
                <w:rFonts w:ascii="Times New Roman" w:hAnsi="Times New Roman" w:eastAsia="宋体" w:cs="Times New Roman"/>
                <w:kern w:val="0"/>
                <w:sz w:val="22"/>
                <w:szCs w:val="22"/>
              </w:rPr>
              <w:t>4.6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5" w:hRule="atLeast"/>
          <w:jc w:val="center"/>
        </w:trPr>
        <w:tc>
          <w:tcPr>
            <w:tcW w:w="1998" w:type="dxa"/>
            <w:tcBorders>
              <w:tl2br w:val="nil"/>
              <w:tr2bl w:val="nil"/>
            </w:tcBorders>
            <w:shd w:val="clear" w:color="auto" w:fill="auto"/>
            <w:tcMar>
              <w:top w:w="15" w:type="dxa"/>
              <w:left w:w="15" w:type="dxa"/>
              <w:right w:w="15" w:type="dxa"/>
            </w:tcMar>
            <w:vAlign w:val="center"/>
          </w:tcPr>
          <w:p>
            <w:pPr>
              <w:widowControl/>
              <w:spacing w:line="300" w:lineRule="exact"/>
              <w:jc w:val="center"/>
              <w:textAlignment w:val="center"/>
              <w:rPr>
                <w:rFonts w:ascii="仿宋" w:hAnsi="仿宋" w:eastAsia="仿宋" w:cs="Calibri"/>
                <w:szCs w:val="21"/>
              </w:rPr>
            </w:pPr>
            <w:r>
              <w:rPr>
                <w:rFonts w:hint="eastAsia" w:ascii="仿宋" w:hAnsi="仿宋" w:eastAsia="仿宋" w:cs="Calibri"/>
                <w:kern w:val="0"/>
                <w:szCs w:val="21"/>
              </w:rPr>
              <w:t>延安市</w:t>
            </w:r>
          </w:p>
        </w:tc>
        <w:tc>
          <w:tcPr>
            <w:tcW w:w="4046" w:type="dxa"/>
            <w:tcBorders>
              <w:tl2br w:val="nil"/>
              <w:tr2bl w:val="nil"/>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宋体" w:cs="Times New Roman"/>
                <w:kern w:val="0"/>
                <w:sz w:val="22"/>
                <w:szCs w:val="22"/>
              </w:rPr>
            </w:pPr>
            <w:r>
              <w:rPr>
                <w:rFonts w:ascii="Times New Roman" w:hAnsi="Times New Roman" w:eastAsia="宋体" w:cs="Times New Roman"/>
                <w:kern w:val="0"/>
                <w:sz w:val="22"/>
                <w:szCs w:val="22"/>
              </w:rPr>
              <w:t>1.42</w:t>
            </w:r>
          </w:p>
        </w:tc>
        <w:tc>
          <w:tcPr>
            <w:tcW w:w="2292" w:type="dxa"/>
            <w:tcBorders>
              <w:tl2br w:val="nil"/>
              <w:tr2bl w:val="nil"/>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宋体" w:cs="Times New Roman"/>
                <w:kern w:val="0"/>
                <w:sz w:val="22"/>
                <w:szCs w:val="22"/>
              </w:rPr>
            </w:pPr>
            <w:r>
              <w:rPr>
                <w:rFonts w:ascii="Times New Roman" w:hAnsi="Times New Roman" w:eastAsia="宋体" w:cs="Times New Roman"/>
                <w:kern w:val="0"/>
                <w:sz w:val="22"/>
                <w:szCs w:val="22"/>
              </w:rPr>
              <w:t>2.4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5" w:hRule="atLeast"/>
          <w:jc w:val="center"/>
        </w:trPr>
        <w:tc>
          <w:tcPr>
            <w:tcW w:w="1998" w:type="dxa"/>
            <w:tcBorders>
              <w:tl2br w:val="nil"/>
              <w:tr2bl w:val="nil"/>
            </w:tcBorders>
            <w:shd w:val="clear" w:color="auto" w:fill="auto"/>
            <w:tcMar>
              <w:top w:w="15" w:type="dxa"/>
              <w:left w:w="15" w:type="dxa"/>
              <w:right w:w="15" w:type="dxa"/>
            </w:tcMar>
            <w:vAlign w:val="center"/>
          </w:tcPr>
          <w:p>
            <w:pPr>
              <w:widowControl/>
              <w:spacing w:line="300" w:lineRule="exact"/>
              <w:jc w:val="center"/>
              <w:textAlignment w:val="center"/>
              <w:rPr>
                <w:rFonts w:ascii="仿宋" w:hAnsi="仿宋" w:eastAsia="仿宋" w:cs="Calibri"/>
                <w:szCs w:val="21"/>
              </w:rPr>
            </w:pPr>
            <w:r>
              <w:rPr>
                <w:rFonts w:hint="eastAsia" w:ascii="仿宋" w:hAnsi="仿宋" w:eastAsia="仿宋" w:cs="Calibri"/>
                <w:kern w:val="0"/>
                <w:szCs w:val="21"/>
              </w:rPr>
              <w:t>榆林市</w:t>
            </w:r>
          </w:p>
        </w:tc>
        <w:tc>
          <w:tcPr>
            <w:tcW w:w="4046" w:type="dxa"/>
            <w:tcBorders>
              <w:tl2br w:val="nil"/>
              <w:tr2bl w:val="nil"/>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宋体" w:cs="Times New Roman"/>
                <w:kern w:val="0"/>
                <w:sz w:val="22"/>
                <w:szCs w:val="22"/>
              </w:rPr>
            </w:pPr>
            <w:r>
              <w:rPr>
                <w:rFonts w:ascii="Times New Roman" w:hAnsi="Times New Roman" w:eastAsia="宋体" w:cs="Times New Roman"/>
                <w:kern w:val="0"/>
                <w:sz w:val="22"/>
                <w:szCs w:val="22"/>
              </w:rPr>
              <w:t>3.17</w:t>
            </w:r>
          </w:p>
        </w:tc>
        <w:tc>
          <w:tcPr>
            <w:tcW w:w="2292" w:type="dxa"/>
            <w:tcBorders>
              <w:tl2br w:val="nil"/>
              <w:tr2bl w:val="nil"/>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宋体" w:cs="Times New Roman"/>
                <w:kern w:val="0"/>
                <w:sz w:val="22"/>
                <w:szCs w:val="22"/>
              </w:rPr>
            </w:pPr>
            <w:r>
              <w:rPr>
                <w:rFonts w:ascii="Times New Roman" w:hAnsi="Times New Roman" w:eastAsia="宋体" w:cs="Times New Roman"/>
                <w:kern w:val="0"/>
                <w:sz w:val="22"/>
                <w:szCs w:val="22"/>
              </w:rPr>
              <w:t>5.3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0" w:hRule="atLeast"/>
          <w:jc w:val="center"/>
        </w:trPr>
        <w:tc>
          <w:tcPr>
            <w:tcW w:w="1998" w:type="dxa"/>
            <w:tcBorders>
              <w:tl2br w:val="nil"/>
              <w:tr2bl w:val="nil"/>
            </w:tcBorders>
            <w:shd w:val="clear" w:color="auto" w:fill="BDD6EE" w:themeFill="accent1" w:themeFillTint="66"/>
            <w:tcMar>
              <w:top w:w="15" w:type="dxa"/>
              <w:left w:w="15" w:type="dxa"/>
              <w:right w:w="15" w:type="dxa"/>
            </w:tcMar>
            <w:vAlign w:val="center"/>
          </w:tcPr>
          <w:p>
            <w:pPr>
              <w:widowControl/>
              <w:spacing w:line="300" w:lineRule="exact"/>
              <w:jc w:val="center"/>
              <w:textAlignment w:val="center"/>
              <w:rPr>
                <w:rFonts w:ascii="仿宋" w:hAnsi="仿宋" w:eastAsia="仿宋" w:cs="宋体"/>
                <w:sz w:val="22"/>
                <w:szCs w:val="22"/>
              </w:rPr>
            </w:pPr>
            <w:r>
              <w:rPr>
                <w:rFonts w:hint="eastAsia" w:ascii="仿宋" w:hAnsi="仿宋" w:eastAsia="仿宋" w:cs="宋体"/>
                <w:kern w:val="0"/>
                <w:sz w:val="22"/>
                <w:szCs w:val="22"/>
              </w:rPr>
              <w:t>陕北</w:t>
            </w:r>
          </w:p>
        </w:tc>
        <w:tc>
          <w:tcPr>
            <w:tcW w:w="4046" w:type="dxa"/>
            <w:tcBorders>
              <w:tl2br w:val="nil"/>
              <w:tr2bl w:val="nil"/>
            </w:tcBorders>
            <w:shd w:val="clear" w:color="auto" w:fill="BDD6EE" w:themeFill="accent1" w:themeFillTint="66"/>
            <w:tcMar>
              <w:top w:w="15" w:type="dxa"/>
              <w:left w:w="15" w:type="dxa"/>
              <w:right w:w="15" w:type="dxa"/>
            </w:tcMar>
            <w:vAlign w:val="center"/>
          </w:tcPr>
          <w:p>
            <w:pPr>
              <w:widowControl/>
              <w:spacing w:line="300" w:lineRule="exact"/>
              <w:jc w:val="center"/>
              <w:textAlignment w:val="center"/>
              <w:rPr>
                <w:rFonts w:ascii="Times New Roman" w:hAnsi="Times New Roman" w:eastAsia="宋体" w:cs="Times New Roman"/>
                <w:kern w:val="0"/>
                <w:sz w:val="22"/>
                <w:szCs w:val="22"/>
              </w:rPr>
            </w:pPr>
            <w:r>
              <w:rPr>
                <w:rFonts w:ascii="Times New Roman" w:hAnsi="Times New Roman" w:eastAsia="宋体" w:cs="Times New Roman"/>
                <w:kern w:val="0"/>
                <w:sz w:val="22"/>
                <w:szCs w:val="22"/>
              </w:rPr>
              <w:t>4.59</w:t>
            </w:r>
          </w:p>
        </w:tc>
        <w:tc>
          <w:tcPr>
            <w:tcW w:w="2292" w:type="dxa"/>
            <w:tcBorders>
              <w:tl2br w:val="nil"/>
              <w:tr2bl w:val="nil"/>
            </w:tcBorders>
            <w:shd w:val="clear" w:color="auto" w:fill="BDD6EE" w:themeFill="accent1" w:themeFillTint="66"/>
            <w:tcMar>
              <w:top w:w="15" w:type="dxa"/>
              <w:left w:w="15" w:type="dxa"/>
              <w:right w:w="15" w:type="dxa"/>
            </w:tcMar>
            <w:vAlign w:val="center"/>
          </w:tcPr>
          <w:p>
            <w:pPr>
              <w:widowControl/>
              <w:spacing w:line="300" w:lineRule="exact"/>
              <w:jc w:val="center"/>
              <w:textAlignment w:val="center"/>
              <w:rPr>
                <w:rFonts w:ascii="Times New Roman" w:hAnsi="Times New Roman" w:eastAsia="宋体" w:cs="Times New Roman"/>
                <w:kern w:val="0"/>
                <w:sz w:val="22"/>
                <w:szCs w:val="22"/>
              </w:rPr>
            </w:pPr>
            <w:r>
              <w:rPr>
                <w:rFonts w:ascii="Times New Roman" w:hAnsi="Times New Roman" w:eastAsia="宋体" w:cs="Times New Roman"/>
                <w:kern w:val="0"/>
                <w:sz w:val="22"/>
                <w:szCs w:val="22"/>
              </w:rPr>
              <w:t>7.7</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0" w:hRule="atLeast"/>
          <w:jc w:val="center"/>
        </w:trPr>
        <w:tc>
          <w:tcPr>
            <w:tcW w:w="1998" w:type="dxa"/>
            <w:tcBorders>
              <w:tl2br w:val="nil"/>
              <w:tr2bl w:val="nil"/>
            </w:tcBorders>
            <w:shd w:val="clear" w:color="auto" w:fill="auto"/>
            <w:tcMar>
              <w:top w:w="15" w:type="dxa"/>
              <w:left w:w="15" w:type="dxa"/>
              <w:right w:w="15" w:type="dxa"/>
            </w:tcMar>
            <w:vAlign w:val="center"/>
          </w:tcPr>
          <w:p>
            <w:pPr>
              <w:widowControl/>
              <w:spacing w:line="300" w:lineRule="exact"/>
              <w:jc w:val="center"/>
              <w:textAlignment w:val="center"/>
              <w:rPr>
                <w:rFonts w:ascii="仿宋" w:hAnsi="仿宋" w:eastAsia="仿宋" w:cs="宋体"/>
                <w:sz w:val="22"/>
                <w:szCs w:val="22"/>
              </w:rPr>
            </w:pPr>
            <w:r>
              <w:rPr>
                <w:rFonts w:hint="eastAsia" w:ascii="仿宋" w:hAnsi="仿宋" w:eastAsia="仿宋" w:cs="宋体"/>
                <w:kern w:val="0"/>
                <w:sz w:val="22"/>
                <w:szCs w:val="22"/>
              </w:rPr>
              <w:t>合计</w:t>
            </w:r>
          </w:p>
        </w:tc>
        <w:tc>
          <w:tcPr>
            <w:tcW w:w="4046" w:type="dxa"/>
            <w:tcBorders>
              <w:tl2br w:val="nil"/>
              <w:tr2bl w:val="nil"/>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宋体" w:cs="Times New Roman"/>
                <w:kern w:val="0"/>
                <w:sz w:val="22"/>
                <w:szCs w:val="22"/>
              </w:rPr>
            </w:pPr>
            <w:r>
              <w:rPr>
                <w:rFonts w:ascii="Times New Roman" w:hAnsi="Times New Roman" w:eastAsia="宋体" w:cs="Times New Roman"/>
                <w:kern w:val="0"/>
                <w:sz w:val="22"/>
                <w:szCs w:val="22"/>
              </w:rPr>
              <w:t>60</w:t>
            </w:r>
          </w:p>
        </w:tc>
        <w:tc>
          <w:tcPr>
            <w:tcW w:w="2292" w:type="dxa"/>
            <w:tcBorders>
              <w:tl2br w:val="nil"/>
              <w:tr2bl w:val="nil"/>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宋体" w:cs="Times New Roman"/>
                <w:kern w:val="0"/>
                <w:sz w:val="22"/>
                <w:szCs w:val="22"/>
              </w:rPr>
            </w:pPr>
          </w:p>
        </w:tc>
      </w:tr>
    </w:tbl>
    <w:p>
      <w:pPr>
        <w:pStyle w:val="26"/>
        <w:spacing w:line="240" w:lineRule="auto"/>
        <w:ind w:firstLine="0"/>
        <w:rPr>
          <w:bCs/>
          <w:sz w:val="22"/>
          <w:szCs w:val="22"/>
        </w:rPr>
      </w:pPr>
      <w:bookmarkStart w:id="33" w:name="_Toc21054"/>
      <w:bookmarkStart w:id="34" w:name="_Toc447114632"/>
      <w:bookmarkStart w:id="35" w:name="_Toc47622925"/>
      <w:bookmarkStart w:id="36" w:name="_Toc25645"/>
    </w:p>
    <w:p>
      <w:pPr>
        <w:pStyle w:val="26"/>
        <w:spacing w:line="240" w:lineRule="auto"/>
        <w:ind w:firstLine="0"/>
        <w:rPr>
          <w:bCs/>
          <w:sz w:val="22"/>
          <w:szCs w:val="22"/>
        </w:rPr>
      </w:pPr>
    </w:p>
    <w:p>
      <w:pPr>
        <w:pStyle w:val="26"/>
        <w:spacing w:line="240" w:lineRule="auto"/>
        <w:ind w:firstLine="0"/>
        <w:rPr>
          <w:bCs/>
          <w:sz w:val="22"/>
          <w:szCs w:val="22"/>
        </w:rPr>
      </w:pPr>
      <w:r>
        <w:rPr>
          <w:bCs/>
          <w:sz w:val="22"/>
          <w:szCs w:val="22"/>
        </w:rPr>
        <w:drawing>
          <wp:inline distT="0" distB="0" distL="0" distR="0">
            <wp:extent cx="4134485" cy="2440940"/>
            <wp:effectExtent l="0" t="0" r="0" b="0"/>
            <wp:docPr id="56" name="图表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pPr>
        <w:pStyle w:val="26"/>
        <w:spacing w:line="240" w:lineRule="auto"/>
        <w:rPr>
          <w:rFonts w:eastAsia="仿宋_GB2312"/>
          <w:bCs/>
          <w:sz w:val="24"/>
          <w:szCs w:val="24"/>
        </w:rPr>
      </w:pPr>
      <w:r>
        <w:rPr>
          <w:rFonts w:eastAsia="仿宋_GB2312"/>
          <w:bCs/>
          <w:sz w:val="24"/>
          <w:szCs w:val="24"/>
        </w:rPr>
        <w:t>图</w:t>
      </w:r>
      <w:r>
        <w:rPr>
          <w:rFonts w:hint="eastAsia" w:eastAsia="仿宋_GB2312"/>
          <w:bCs/>
          <w:sz w:val="24"/>
          <w:szCs w:val="24"/>
        </w:rPr>
        <w:t xml:space="preserve">22  </w:t>
      </w:r>
      <w:r>
        <w:rPr>
          <w:rFonts w:eastAsia="仿宋_GB2312"/>
          <w:bCs/>
          <w:sz w:val="24"/>
          <w:szCs w:val="24"/>
        </w:rPr>
        <w:t>各区域“十四五”末电动汽车保有量预测总量占比</w:t>
      </w:r>
    </w:p>
    <w:p>
      <w:pPr>
        <w:pStyle w:val="26"/>
        <w:spacing w:line="240" w:lineRule="auto"/>
        <w:rPr>
          <w:bCs/>
          <w:sz w:val="22"/>
          <w:szCs w:val="22"/>
        </w:rPr>
      </w:pPr>
    </w:p>
    <w:p>
      <w:pPr>
        <w:pStyle w:val="26"/>
        <w:spacing w:line="240" w:lineRule="auto"/>
        <w:ind w:firstLine="0"/>
        <w:rPr>
          <w:bCs/>
          <w:sz w:val="22"/>
          <w:szCs w:val="22"/>
        </w:rPr>
      </w:pPr>
      <w:r>
        <w:rPr>
          <w:bCs/>
          <w:sz w:val="22"/>
          <w:szCs w:val="22"/>
        </w:rPr>
        <w:drawing>
          <wp:inline distT="0" distB="0" distL="0" distR="0">
            <wp:extent cx="5534025" cy="2321560"/>
            <wp:effectExtent l="0" t="0" r="0" b="0"/>
            <wp:docPr id="57" name="图表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pPr>
        <w:pStyle w:val="26"/>
        <w:spacing w:afterLines="50" w:line="240" w:lineRule="auto"/>
        <w:rPr>
          <w:rFonts w:eastAsia="仿宋_GB2312"/>
          <w:bCs/>
          <w:sz w:val="24"/>
          <w:szCs w:val="24"/>
        </w:rPr>
      </w:pPr>
      <w:r>
        <w:rPr>
          <w:rFonts w:hint="eastAsia" w:eastAsia="仿宋_GB2312"/>
          <w:bCs/>
          <w:sz w:val="24"/>
          <w:szCs w:val="24"/>
        </w:rPr>
        <w:t>图23  各地市“十四五”末电动汽车保有量预测总量（万辆）</w:t>
      </w:r>
    </w:p>
    <w:p>
      <w:pPr>
        <w:pStyle w:val="4"/>
        <w:spacing w:line="580" w:lineRule="exact"/>
        <w:ind w:firstLine="643"/>
      </w:pPr>
      <w:r>
        <w:t>（二）充电设施配置原则</w:t>
      </w:r>
      <w:bookmarkEnd w:id="33"/>
      <w:bookmarkEnd w:id="34"/>
      <w:bookmarkEnd w:id="35"/>
      <w:bookmarkEnd w:id="36"/>
    </w:p>
    <w:p>
      <w:pPr>
        <w:adjustRightInd w:val="0"/>
        <w:snapToGrid w:val="0"/>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充电设施配置以满足电动汽车充电需求为中心，坚持便捷、经济、可行等要求协调统一，充分考虑各类车辆的用车习惯及充电设施的建设条件，专用充电设施与公用充电设施融合发展、互为补充，</w:t>
      </w:r>
      <w:r>
        <w:rPr>
          <w:rFonts w:ascii="Times New Roman" w:hAnsi="Times New Roman" w:eastAsia="仿宋_GB2312" w:cs="Times New Roman"/>
          <w:sz w:val="32"/>
          <w:szCs w:val="32"/>
        </w:rPr>
        <w:t>快充、慢充</w:t>
      </w:r>
      <w:r>
        <w:rPr>
          <w:rFonts w:hint="eastAsia" w:ascii="Times New Roman" w:hAnsi="Times New Roman" w:eastAsia="仿宋_GB2312" w:cs="Times New Roman"/>
          <w:sz w:val="32"/>
          <w:szCs w:val="32"/>
        </w:rPr>
        <w:t>有机</w:t>
      </w:r>
      <w:r>
        <w:rPr>
          <w:rFonts w:ascii="Times New Roman" w:hAnsi="Times New Roman" w:eastAsia="仿宋_GB2312" w:cs="Times New Roman"/>
          <w:sz w:val="32"/>
          <w:szCs w:val="32"/>
        </w:rPr>
        <w:t>结合</w:t>
      </w:r>
      <w:r>
        <w:rPr>
          <w:rFonts w:hint="eastAsia" w:ascii="Times New Roman" w:hAnsi="Times New Roman" w:eastAsia="仿宋_GB2312" w:cs="Times New Roman"/>
          <w:sz w:val="32"/>
          <w:szCs w:val="32"/>
        </w:rPr>
        <w:t>，建成充分满足省内电动汽车发展需求的车桩相随、适度超前、高效智能的充电基础设施体系。</w:t>
      </w:r>
    </w:p>
    <w:p>
      <w:pPr>
        <w:pStyle w:val="5"/>
        <w:spacing w:line="580" w:lineRule="exact"/>
        <w:ind w:firstLine="643"/>
      </w:pPr>
      <w:r>
        <w:rPr>
          <w:rFonts w:hint="eastAsia"/>
        </w:rPr>
        <w:t>1.分区域配置原则</w:t>
      </w:r>
    </w:p>
    <w:p>
      <w:pPr>
        <w:adjustRightInd w:val="0"/>
        <w:snapToGrid w:val="0"/>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考虑省内各地区经济社会发展水平和自然环境条件差异，“十四五”期间关中地区电动汽车将全面应用，陕北、陕南区域通过公共领域应用逐步带动全社会推广。</w:t>
      </w:r>
    </w:p>
    <w:p>
      <w:pPr>
        <w:adjustRightInd w:val="0"/>
        <w:snapToGrid w:val="0"/>
        <w:spacing w:line="580" w:lineRule="exact"/>
        <w:ind w:firstLine="640" w:firstLineChars="200"/>
        <w:rPr>
          <w:rFonts w:eastAsia="仿宋_GB2312"/>
          <w:sz w:val="32"/>
          <w:szCs w:val="32"/>
        </w:rPr>
      </w:pPr>
      <w:r>
        <w:rPr>
          <w:rFonts w:hint="eastAsia" w:ascii="Times New Roman" w:hAnsi="Times New Roman" w:eastAsia="仿宋_GB2312" w:cs="Times New Roman"/>
          <w:sz w:val="32"/>
          <w:szCs w:val="32"/>
        </w:rPr>
        <w:t>充电设施建设应紧密结合电动汽车发展情况，关中地区应继续加强专用充电设施建设，同时积极推进公用及自用充电设施建设，保障不断增加的私人电动汽车充电需求。陕北、陕南区域应重点加强专用充电设施建设，同时根据推广情况适度超前建设公用充电设施。</w:t>
      </w:r>
    </w:p>
    <w:p>
      <w:pPr>
        <w:adjustRightInd w:val="0"/>
        <w:snapToGrid w:val="0"/>
        <w:spacing w:line="580" w:lineRule="exact"/>
        <w:ind w:firstLine="640"/>
        <w:rPr>
          <w:rFonts w:eastAsia="仿宋_GB2312"/>
          <w:sz w:val="32"/>
          <w:szCs w:val="32"/>
        </w:rPr>
      </w:pPr>
      <w:r>
        <w:rPr>
          <w:rFonts w:hint="eastAsia" w:ascii="Times New Roman" w:hAnsi="Times New Roman" w:eastAsia="仿宋_GB2312" w:cs="Times New Roman"/>
          <w:sz w:val="32"/>
          <w:szCs w:val="32"/>
        </w:rPr>
        <w:t>关中地区城市建成区公共充电设施服务半径小于</w:t>
      </w:r>
      <w:r>
        <w:rPr>
          <w:rFonts w:ascii="Times New Roman" w:hAnsi="Times New Roman" w:eastAsia="仿宋_GB2312" w:cs="Times New Roman"/>
          <w:sz w:val="32"/>
          <w:szCs w:val="32"/>
        </w:rPr>
        <w:t>1.5</w:t>
      </w:r>
      <w:r>
        <w:rPr>
          <w:rFonts w:hint="eastAsia" w:ascii="Times New Roman" w:hAnsi="Times New Roman" w:eastAsia="仿宋_GB2312" w:cs="Times New Roman"/>
          <w:sz w:val="32"/>
          <w:szCs w:val="32"/>
        </w:rPr>
        <w:t>千米，其中西安市小于</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千米。</w:t>
      </w:r>
    </w:p>
    <w:p>
      <w:pPr>
        <w:pStyle w:val="2"/>
        <w:spacing w:line="580" w:lineRule="exact"/>
        <w:ind w:firstLine="640"/>
        <w:rPr>
          <w:rFonts w:eastAsia="仿宋_GB2312"/>
          <w:sz w:val="32"/>
          <w:szCs w:val="32"/>
        </w:rPr>
      </w:pPr>
      <w:r>
        <w:rPr>
          <w:rFonts w:hint="eastAsia" w:eastAsia="仿宋_GB2312"/>
          <w:sz w:val="32"/>
          <w:szCs w:val="32"/>
        </w:rPr>
        <w:t>陕北、陕南地区城市建成区公共充电设施服务半径小于</w:t>
      </w:r>
      <w:r>
        <w:rPr>
          <w:rFonts w:eastAsia="仿宋_GB2312"/>
          <w:sz w:val="32"/>
          <w:szCs w:val="32"/>
        </w:rPr>
        <w:t>2</w:t>
      </w:r>
      <w:r>
        <w:rPr>
          <w:rFonts w:hint="eastAsia" w:eastAsia="仿宋_GB2312"/>
          <w:sz w:val="32"/>
          <w:szCs w:val="32"/>
        </w:rPr>
        <w:t>千米。</w:t>
      </w:r>
    </w:p>
    <w:p>
      <w:pPr>
        <w:pStyle w:val="5"/>
        <w:spacing w:line="580" w:lineRule="exact"/>
        <w:ind w:firstLine="643"/>
      </w:pPr>
      <w:r>
        <w:rPr>
          <w:rFonts w:hint="eastAsia"/>
        </w:rPr>
        <w:t>2.分车辆配置原则</w:t>
      </w:r>
    </w:p>
    <w:p>
      <w:pPr>
        <w:adjustRightInd w:val="0"/>
        <w:snapToGrid w:val="0"/>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公交车、客运车辆、环卫车、工程车辆一般具有固定的停车场站，同时受制于车辆体积，一般难以在公共充电站充电，以在停车场站配建的专用充电桩作为主要充电方式，根据充电时长、车辆空闲时间等因素，按照车桩比不低于3</w:t>
      </w:r>
      <w:r>
        <w:rPr>
          <w:rFonts w:ascii="Times New Roman" w:hAnsi="Times New Roman" w:eastAsia="仿宋_GB2312" w:cs="Times New Roman"/>
          <w:sz w:val="32"/>
          <w:szCs w:val="32"/>
        </w:rPr>
        <w:t>:1</w:t>
      </w:r>
      <w:r>
        <w:rPr>
          <w:rStyle w:val="24"/>
          <w:rFonts w:ascii="Times New Roman" w:hAnsi="Times New Roman" w:eastAsia="仿宋_GB2312" w:cs="Times New Roman"/>
          <w:sz w:val="32"/>
          <w:szCs w:val="32"/>
        </w:rPr>
        <w:footnoteReference w:id="12"/>
      </w:r>
      <w:r>
        <w:rPr>
          <w:rFonts w:hint="eastAsia" w:ascii="Times New Roman" w:hAnsi="Times New Roman" w:eastAsia="仿宋_GB2312" w:cs="Times New Roman"/>
          <w:sz w:val="32"/>
          <w:szCs w:val="32"/>
        </w:rPr>
        <w:t>建设，公共充电设施作为补充。鼓励根据实际情况采用换电等其他电能补充方式。</w:t>
      </w:r>
    </w:p>
    <w:p>
      <w:pPr>
        <w:adjustRightInd w:val="0"/>
        <w:snapToGrid w:val="0"/>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私人乘用车以在自有停车位建设专用充电桩作为主要充电方式，通过采用有序慢充等新技术，争取按照车桩比</w:t>
      </w:r>
      <w:r>
        <w:rPr>
          <w:rFonts w:ascii="Times New Roman" w:hAnsi="Times New Roman" w:eastAsia="仿宋_GB2312" w:cs="Times New Roman"/>
          <w:sz w:val="32"/>
          <w:szCs w:val="32"/>
        </w:rPr>
        <w:t>1:1</w:t>
      </w:r>
      <w:r>
        <w:rPr>
          <w:rFonts w:hint="eastAsia" w:ascii="Times New Roman" w:hAnsi="Times New Roman" w:eastAsia="仿宋_GB2312" w:cs="Times New Roman"/>
          <w:sz w:val="32"/>
          <w:szCs w:val="32"/>
        </w:rPr>
        <w:t>建设，同时由于无法完全配建的实际情况，考虑</w:t>
      </w:r>
      <w:r>
        <w:rPr>
          <w:rFonts w:ascii="Times New Roman" w:hAnsi="Times New Roman" w:eastAsia="仿宋_GB2312" w:cs="Times New Roman"/>
          <w:sz w:val="32"/>
          <w:szCs w:val="32"/>
        </w:rPr>
        <w:t>30%</w:t>
      </w:r>
      <w:r>
        <w:rPr>
          <w:rFonts w:hint="eastAsia" w:ascii="Times New Roman" w:hAnsi="Times New Roman" w:eastAsia="仿宋_GB2312" w:cs="Times New Roman"/>
          <w:sz w:val="32"/>
          <w:szCs w:val="32"/>
        </w:rPr>
        <w:t>私人乘用车在小区及周边等处设置的公共充电桩上充电。</w:t>
      </w:r>
    </w:p>
    <w:p>
      <w:pPr>
        <w:adjustRightInd w:val="0"/>
        <w:snapToGrid w:val="0"/>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企事业单位乘用车以在单位内部停车位建设专用充电桩作为主要充电方式，按照车桩比</w:t>
      </w:r>
      <w:r>
        <w:rPr>
          <w:rFonts w:ascii="Times New Roman" w:hAnsi="Times New Roman" w:eastAsia="仿宋_GB2312" w:cs="Times New Roman"/>
          <w:sz w:val="32"/>
          <w:szCs w:val="32"/>
        </w:rPr>
        <w:t>2:1</w:t>
      </w:r>
      <w:r>
        <w:rPr>
          <w:rStyle w:val="24"/>
          <w:rFonts w:ascii="Times New Roman" w:hAnsi="Times New Roman" w:eastAsia="仿宋_GB2312" w:cs="Times New Roman"/>
          <w:sz w:val="32"/>
          <w:szCs w:val="32"/>
        </w:rPr>
        <w:footnoteReference w:id="13"/>
      </w:r>
      <w:r>
        <w:rPr>
          <w:rFonts w:hint="eastAsia" w:ascii="Times New Roman" w:hAnsi="Times New Roman" w:eastAsia="仿宋_GB2312" w:cs="Times New Roman"/>
          <w:sz w:val="32"/>
          <w:szCs w:val="32"/>
        </w:rPr>
        <w:t>建设，以公共充电设施为补充。</w:t>
      </w:r>
    </w:p>
    <w:p>
      <w:pPr>
        <w:adjustRightInd w:val="0"/>
        <w:snapToGrid w:val="0"/>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出租车、网约车、物流车流动性大，采用公共充电设施作为主要充电方式，同时根据场地情况配建专用充电设施作为补充。</w:t>
      </w:r>
    </w:p>
    <w:p>
      <w:pPr>
        <w:pStyle w:val="5"/>
        <w:spacing w:line="580" w:lineRule="exact"/>
        <w:ind w:firstLine="643"/>
      </w:pPr>
      <w:r>
        <w:rPr>
          <w:rFonts w:hint="eastAsia"/>
        </w:rPr>
        <w:t>3.各类充电设施规格选择</w:t>
      </w:r>
    </w:p>
    <w:p>
      <w:pPr>
        <w:adjustRightInd w:val="0"/>
        <w:snapToGrid w:val="0"/>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私人乘用车、企事业单位乘用车日行驶里程一般较短，专用充电设施采用慢充方式即能满足需求，鼓励采用</w:t>
      </w:r>
      <w:r>
        <w:rPr>
          <w:rFonts w:ascii="Times New Roman" w:hAnsi="Times New Roman" w:eastAsia="仿宋_GB2312" w:cs="Times New Roman"/>
          <w:sz w:val="32"/>
          <w:szCs w:val="32"/>
        </w:rPr>
        <w:t>智能有序慢充</w:t>
      </w:r>
      <w:r>
        <w:rPr>
          <w:rFonts w:hint="eastAsia" w:ascii="Times New Roman" w:hAnsi="Times New Roman" w:eastAsia="仿宋_GB2312" w:cs="Times New Roman"/>
          <w:sz w:val="32"/>
          <w:szCs w:val="32"/>
        </w:rPr>
        <w:t>等新技术，节约投资及电网资源。</w:t>
      </w:r>
    </w:p>
    <w:p>
      <w:pPr>
        <w:adjustRightInd w:val="0"/>
        <w:snapToGrid w:val="0"/>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公交车、客运车辆、工程车辆耗电量大，对充电时长敏感度高，专用充电设施宜采用快充方式。</w:t>
      </w:r>
    </w:p>
    <w:p>
      <w:pPr>
        <w:adjustRightInd w:val="0"/>
        <w:snapToGrid w:val="0"/>
        <w:spacing w:line="580"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环卫车辆专用充电设施主要采用小功率直流充电方式。</w:t>
      </w:r>
    </w:p>
    <w:p>
      <w:pPr>
        <w:adjustRightInd w:val="0"/>
        <w:snapToGrid w:val="0"/>
        <w:spacing w:line="580" w:lineRule="exact"/>
        <w:ind w:firstLine="640"/>
        <w:rPr>
          <w:rFonts w:eastAsia="仿宋_GB2312"/>
          <w:sz w:val="32"/>
          <w:szCs w:val="32"/>
        </w:rPr>
      </w:pPr>
      <w:r>
        <w:rPr>
          <w:rFonts w:hint="eastAsia" w:ascii="Times New Roman" w:hAnsi="Times New Roman" w:eastAsia="仿宋_GB2312" w:cs="Times New Roman"/>
          <w:sz w:val="32"/>
          <w:szCs w:val="32"/>
        </w:rPr>
        <w:t>公共充电设施宜采用直流充电方式，主要为直流快充方式和小功率直流充电方式；集中式公共充电站宜采用直流快充方式，提升充电效率；主要面向私人乘用车的公共充电桩宜采用小功率直流充电方式。</w:t>
      </w:r>
    </w:p>
    <w:p>
      <w:pPr>
        <w:pStyle w:val="4"/>
        <w:spacing w:line="580" w:lineRule="exact"/>
        <w:ind w:firstLine="643"/>
      </w:pPr>
      <w:bookmarkStart w:id="37" w:name="_Toc447114633"/>
      <w:bookmarkStart w:id="38" w:name="_Toc17321"/>
      <w:bookmarkStart w:id="39" w:name="_Toc22741"/>
      <w:bookmarkStart w:id="40" w:name="_Toc47622929"/>
      <w:r>
        <w:rPr>
          <w:rFonts w:hint="eastAsia"/>
        </w:rPr>
        <w:t>（三）充电设施需求预测</w:t>
      </w:r>
      <w:bookmarkEnd w:id="37"/>
      <w:bookmarkEnd w:id="38"/>
      <w:bookmarkEnd w:id="39"/>
      <w:bookmarkEnd w:id="40"/>
    </w:p>
    <w:p>
      <w:pPr>
        <w:adjustRightInd w:val="0"/>
        <w:snapToGrid w:val="0"/>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根据省内电动汽车发展预测情况，结合充电设施配置原则，计算充电设施需求情况。</w:t>
      </w:r>
    </w:p>
    <w:p>
      <w:pPr>
        <w:adjustRightInd w:val="0"/>
        <w:snapToGrid w:val="0"/>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各型车典型使用场景。电动巡游出租车平均日行驶里程约</w:t>
      </w:r>
      <w:r>
        <w:rPr>
          <w:rFonts w:ascii="Times New Roman" w:hAnsi="Times New Roman" w:eastAsia="仿宋_GB2312" w:cs="Times New Roman"/>
          <w:sz w:val="32"/>
          <w:szCs w:val="32"/>
        </w:rPr>
        <w:t>400</w:t>
      </w:r>
      <w:r>
        <w:rPr>
          <w:rFonts w:hint="eastAsia" w:ascii="Times New Roman" w:hAnsi="Times New Roman" w:eastAsia="仿宋_GB2312" w:cs="Times New Roman"/>
          <w:sz w:val="32"/>
          <w:szCs w:val="32"/>
        </w:rPr>
        <w:t>千米</w:t>
      </w:r>
      <w:r>
        <w:rPr>
          <w:rFonts w:ascii="Times New Roman" w:hAnsi="Times New Roman" w:eastAsia="仿宋_GB2312" w:cs="Times New Roman"/>
          <w:sz w:val="32"/>
          <w:szCs w:val="32"/>
        </w:rPr>
        <w:t>，平均电耗17千瓦时/百</w:t>
      </w:r>
      <w:r>
        <w:rPr>
          <w:rFonts w:hint="eastAsia" w:ascii="Times New Roman" w:hAnsi="Times New Roman" w:eastAsia="仿宋_GB2312" w:cs="Times New Roman"/>
          <w:sz w:val="32"/>
          <w:szCs w:val="32"/>
        </w:rPr>
        <w:t>千米</w:t>
      </w:r>
      <w:r>
        <w:rPr>
          <w:rFonts w:ascii="Times New Roman" w:hAnsi="Times New Roman" w:eastAsia="仿宋_GB2312" w:cs="Times New Roman"/>
          <w:sz w:val="32"/>
          <w:szCs w:val="32"/>
        </w:rPr>
        <w:t>。电动网约</w:t>
      </w:r>
      <w:r>
        <w:rPr>
          <w:rFonts w:hint="eastAsia" w:ascii="Times New Roman" w:hAnsi="Times New Roman" w:eastAsia="仿宋_GB2312" w:cs="Times New Roman"/>
          <w:sz w:val="32"/>
          <w:szCs w:val="32"/>
        </w:rPr>
        <w:t>出租</w:t>
      </w:r>
      <w:r>
        <w:rPr>
          <w:rFonts w:ascii="Times New Roman" w:hAnsi="Times New Roman" w:eastAsia="仿宋_GB2312" w:cs="Times New Roman"/>
          <w:sz w:val="32"/>
          <w:szCs w:val="32"/>
        </w:rPr>
        <w:t>车平均日行驶里程约230</w:t>
      </w:r>
      <w:r>
        <w:rPr>
          <w:rFonts w:hint="eastAsia" w:ascii="Times New Roman" w:hAnsi="Times New Roman" w:eastAsia="仿宋_GB2312" w:cs="Times New Roman"/>
          <w:sz w:val="32"/>
          <w:szCs w:val="32"/>
        </w:rPr>
        <w:t>千米</w:t>
      </w:r>
      <w:r>
        <w:rPr>
          <w:rFonts w:ascii="Times New Roman" w:hAnsi="Times New Roman" w:eastAsia="仿宋_GB2312" w:cs="Times New Roman"/>
          <w:sz w:val="32"/>
          <w:szCs w:val="32"/>
        </w:rPr>
        <w:t>，平均电耗17千瓦时/百</w:t>
      </w:r>
      <w:r>
        <w:rPr>
          <w:rFonts w:hint="eastAsia" w:ascii="Times New Roman" w:hAnsi="Times New Roman" w:eastAsia="仿宋_GB2312" w:cs="Times New Roman"/>
          <w:sz w:val="32"/>
          <w:szCs w:val="32"/>
        </w:rPr>
        <w:t>千米</w:t>
      </w:r>
      <w:r>
        <w:rPr>
          <w:rFonts w:ascii="Times New Roman" w:hAnsi="Times New Roman" w:eastAsia="仿宋_GB2312" w:cs="Times New Roman"/>
          <w:sz w:val="32"/>
          <w:szCs w:val="32"/>
        </w:rPr>
        <w:t>。电动私人乘用车平均日行驶里程约50</w:t>
      </w:r>
      <w:r>
        <w:rPr>
          <w:rFonts w:hint="eastAsia" w:ascii="Times New Roman" w:hAnsi="Times New Roman" w:eastAsia="仿宋_GB2312" w:cs="Times New Roman"/>
          <w:sz w:val="32"/>
          <w:szCs w:val="32"/>
        </w:rPr>
        <w:t>千米</w:t>
      </w:r>
      <w:r>
        <w:rPr>
          <w:rFonts w:ascii="Times New Roman" w:hAnsi="Times New Roman" w:eastAsia="仿宋_GB2312" w:cs="Times New Roman"/>
          <w:sz w:val="32"/>
          <w:szCs w:val="32"/>
        </w:rPr>
        <w:t>，平均电耗17千瓦时/百</w:t>
      </w:r>
      <w:r>
        <w:rPr>
          <w:rFonts w:hint="eastAsia" w:ascii="Times New Roman" w:hAnsi="Times New Roman" w:eastAsia="仿宋_GB2312" w:cs="Times New Roman"/>
          <w:sz w:val="32"/>
          <w:szCs w:val="32"/>
        </w:rPr>
        <w:t>千米</w:t>
      </w:r>
      <w:r>
        <w:rPr>
          <w:rFonts w:ascii="Times New Roman" w:hAnsi="Times New Roman" w:eastAsia="仿宋_GB2312" w:cs="Times New Roman"/>
          <w:sz w:val="32"/>
          <w:szCs w:val="32"/>
        </w:rPr>
        <w:t>。电动物流车平均日行驶里程约180</w:t>
      </w:r>
      <w:r>
        <w:rPr>
          <w:rFonts w:hint="eastAsia" w:ascii="Times New Roman" w:hAnsi="Times New Roman" w:eastAsia="仿宋_GB2312" w:cs="Times New Roman"/>
          <w:sz w:val="32"/>
          <w:szCs w:val="32"/>
        </w:rPr>
        <w:t>千米</w:t>
      </w:r>
      <w:r>
        <w:rPr>
          <w:rFonts w:ascii="Times New Roman" w:hAnsi="Times New Roman" w:eastAsia="仿宋_GB2312" w:cs="Times New Roman"/>
          <w:sz w:val="32"/>
          <w:szCs w:val="32"/>
        </w:rPr>
        <w:t>，平均电耗30千瓦时/百</w:t>
      </w:r>
      <w:r>
        <w:rPr>
          <w:rFonts w:hint="eastAsia" w:ascii="Times New Roman" w:hAnsi="Times New Roman" w:eastAsia="仿宋_GB2312" w:cs="Times New Roman"/>
          <w:sz w:val="32"/>
          <w:szCs w:val="32"/>
        </w:rPr>
        <w:t>千米</w:t>
      </w:r>
      <w:r>
        <w:rPr>
          <w:rFonts w:ascii="Times New Roman" w:hAnsi="Times New Roman" w:eastAsia="仿宋_GB2312" w:cs="Times New Roman"/>
          <w:sz w:val="32"/>
          <w:szCs w:val="32"/>
        </w:rPr>
        <w:t>。电动公交车平均日行驶里程约220</w:t>
      </w:r>
      <w:r>
        <w:rPr>
          <w:rFonts w:hint="eastAsia" w:ascii="Times New Roman" w:hAnsi="Times New Roman" w:eastAsia="仿宋_GB2312" w:cs="Times New Roman"/>
          <w:sz w:val="32"/>
          <w:szCs w:val="32"/>
        </w:rPr>
        <w:t>千米</w:t>
      </w:r>
      <w:r>
        <w:rPr>
          <w:rFonts w:ascii="Times New Roman" w:hAnsi="Times New Roman" w:eastAsia="仿宋_GB2312" w:cs="Times New Roman"/>
          <w:sz w:val="32"/>
          <w:szCs w:val="32"/>
        </w:rPr>
        <w:t>，平均电耗60千瓦时/百</w:t>
      </w:r>
      <w:r>
        <w:rPr>
          <w:rFonts w:hint="eastAsia" w:ascii="Times New Roman" w:hAnsi="Times New Roman" w:eastAsia="仿宋_GB2312" w:cs="Times New Roman"/>
          <w:sz w:val="32"/>
          <w:szCs w:val="32"/>
        </w:rPr>
        <w:t>千米</w:t>
      </w:r>
      <w:r>
        <w:rPr>
          <w:rFonts w:ascii="Times New Roman" w:hAnsi="Times New Roman" w:eastAsia="仿宋_GB2312" w:cs="Times New Roman"/>
          <w:sz w:val="32"/>
          <w:szCs w:val="32"/>
        </w:rPr>
        <w:t>。电动客车平均日行驶里程约250</w:t>
      </w:r>
      <w:r>
        <w:rPr>
          <w:rFonts w:hint="eastAsia" w:ascii="Times New Roman" w:hAnsi="Times New Roman" w:eastAsia="仿宋_GB2312" w:cs="Times New Roman"/>
          <w:sz w:val="32"/>
          <w:szCs w:val="32"/>
        </w:rPr>
        <w:t>千米</w:t>
      </w:r>
      <w:r>
        <w:rPr>
          <w:rFonts w:ascii="Times New Roman" w:hAnsi="Times New Roman" w:eastAsia="仿宋_GB2312" w:cs="Times New Roman"/>
          <w:sz w:val="32"/>
          <w:szCs w:val="32"/>
        </w:rPr>
        <w:t>，平均电耗60千瓦时/百</w:t>
      </w:r>
      <w:r>
        <w:rPr>
          <w:rFonts w:hint="eastAsia" w:ascii="Times New Roman" w:hAnsi="Times New Roman" w:eastAsia="仿宋_GB2312" w:cs="Times New Roman"/>
          <w:sz w:val="32"/>
          <w:szCs w:val="32"/>
        </w:rPr>
        <w:t>千米</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电动环卫车</w:t>
      </w:r>
      <w:r>
        <w:rPr>
          <w:rFonts w:ascii="Times New Roman" w:hAnsi="Times New Roman" w:eastAsia="仿宋_GB2312" w:cs="Times New Roman"/>
          <w:sz w:val="32"/>
          <w:szCs w:val="32"/>
        </w:rPr>
        <w:t>日行驶里程约</w:t>
      </w:r>
      <w:r>
        <w:rPr>
          <w:rFonts w:hint="eastAsia" w:ascii="Times New Roman" w:hAnsi="Times New Roman" w:eastAsia="仿宋_GB2312" w:cs="Times New Roman"/>
          <w:sz w:val="32"/>
          <w:szCs w:val="32"/>
        </w:rPr>
        <w:t>7</w:t>
      </w:r>
      <w:r>
        <w:rPr>
          <w:rFonts w:ascii="Times New Roman" w:hAnsi="Times New Roman" w:eastAsia="仿宋_GB2312" w:cs="Times New Roman"/>
          <w:sz w:val="32"/>
          <w:szCs w:val="32"/>
        </w:rPr>
        <w:t>0</w:t>
      </w:r>
      <w:r>
        <w:rPr>
          <w:rFonts w:hint="eastAsia" w:ascii="Times New Roman" w:hAnsi="Times New Roman" w:eastAsia="仿宋_GB2312" w:cs="Times New Roman"/>
          <w:sz w:val="32"/>
          <w:szCs w:val="32"/>
        </w:rPr>
        <w:t>千米</w:t>
      </w:r>
      <w:r>
        <w:rPr>
          <w:rFonts w:ascii="Times New Roman" w:hAnsi="Times New Roman" w:eastAsia="仿宋_GB2312" w:cs="Times New Roman"/>
          <w:sz w:val="32"/>
          <w:szCs w:val="32"/>
        </w:rPr>
        <w:t>，平均电耗</w:t>
      </w: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0千瓦时/百</w:t>
      </w:r>
      <w:r>
        <w:rPr>
          <w:rFonts w:hint="eastAsia" w:ascii="Times New Roman" w:hAnsi="Times New Roman" w:eastAsia="仿宋_GB2312" w:cs="Times New Roman"/>
          <w:sz w:val="32"/>
          <w:szCs w:val="32"/>
        </w:rPr>
        <w:t>千米</w:t>
      </w:r>
      <w:r>
        <w:rPr>
          <w:rFonts w:ascii="Times New Roman" w:hAnsi="Times New Roman" w:eastAsia="仿宋_GB2312" w:cs="Times New Roman"/>
          <w:sz w:val="32"/>
          <w:szCs w:val="32"/>
        </w:rPr>
        <w:t>。</w:t>
      </w:r>
    </w:p>
    <w:p>
      <w:pPr>
        <w:pStyle w:val="5"/>
        <w:spacing w:line="580" w:lineRule="exact"/>
        <w:ind w:firstLine="643"/>
      </w:pPr>
      <w:bookmarkStart w:id="41" w:name="_Toc47622930"/>
      <w:bookmarkStart w:id="42" w:name="_Toc8980"/>
      <w:r>
        <w:rPr>
          <w:rFonts w:hint="eastAsia"/>
        </w:rPr>
        <w:t>1.专用、自用充电设施</w:t>
      </w:r>
      <w:bookmarkEnd w:id="41"/>
      <w:bookmarkEnd w:id="42"/>
    </w:p>
    <w:p>
      <w:pPr>
        <w:adjustRightInd w:val="0"/>
        <w:snapToGrid w:val="0"/>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根据各类型电动汽车预测保有量及充电设施配置原则，计算2021至2025年省内逐年专用充电设施需求情况。公交车、电动客车、旅游客车、其他车辆采用充电功率为</w:t>
      </w:r>
      <w:r>
        <w:rPr>
          <w:rFonts w:ascii="Times New Roman" w:hAnsi="Times New Roman" w:eastAsia="仿宋_GB2312" w:cs="Times New Roman"/>
          <w:sz w:val="32"/>
          <w:szCs w:val="32"/>
        </w:rPr>
        <w:t>60kW</w:t>
      </w:r>
      <w:r>
        <w:rPr>
          <w:rFonts w:hint="eastAsia" w:ascii="Times New Roman" w:hAnsi="Times New Roman" w:eastAsia="仿宋_GB2312" w:cs="Times New Roman"/>
          <w:sz w:val="32"/>
          <w:szCs w:val="32"/>
        </w:rPr>
        <w:t>的直流快充桩</w:t>
      </w:r>
      <w:r>
        <w:rPr>
          <w:rStyle w:val="24"/>
          <w:rFonts w:ascii="Times New Roman" w:hAnsi="Times New Roman" w:eastAsia="仿宋_GB2312" w:cs="Times New Roman"/>
          <w:sz w:val="32"/>
          <w:szCs w:val="32"/>
        </w:rPr>
        <w:footnoteReference w:id="14"/>
      </w:r>
      <w:r>
        <w:rPr>
          <w:rFonts w:hint="eastAsia" w:ascii="Times New Roman" w:hAnsi="Times New Roman" w:eastAsia="仿宋_GB2312" w:cs="Times New Roman"/>
          <w:sz w:val="32"/>
          <w:szCs w:val="32"/>
        </w:rPr>
        <w:t>，环卫车采用充电功率为2</w:t>
      </w:r>
      <w:r>
        <w:rPr>
          <w:rFonts w:ascii="Times New Roman" w:hAnsi="Times New Roman" w:eastAsia="仿宋_GB2312" w:cs="Times New Roman"/>
          <w:sz w:val="32"/>
          <w:szCs w:val="32"/>
        </w:rPr>
        <w:t>0kW</w:t>
      </w:r>
      <w:r>
        <w:rPr>
          <w:rFonts w:hint="eastAsia" w:ascii="Times New Roman" w:hAnsi="Times New Roman" w:eastAsia="仿宋_GB2312" w:cs="Times New Roman"/>
          <w:sz w:val="32"/>
          <w:szCs w:val="32"/>
        </w:rPr>
        <w:t>的小功率直流充电桩</w:t>
      </w:r>
      <w:r>
        <w:rPr>
          <w:rStyle w:val="24"/>
          <w:rFonts w:ascii="Times New Roman" w:hAnsi="Times New Roman" w:eastAsia="仿宋_GB2312" w:cs="Times New Roman"/>
          <w:sz w:val="32"/>
          <w:szCs w:val="32"/>
        </w:rPr>
        <w:footnoteReference w:id="15"/>
      </w:r>
      <w:r>
        <w:rPr>
          <w:rFonts w:hint="eastAsia" w:ascii="Times New Roman" w:hAnsi="Times New Roman" w:eastAsia="仿宋_GB2312" w:cs="Times New Roman"/>
          <w:sz w:val="32"/>
          <w:szCs w:val="32"/>
        </w:rPr>
        <w:t>，电动私人及公务车采用充电功率为7</w:t>
      </w:r>
      <w:r>
        <w:rPr>
          <w:rFonts w:ascii="Times New Roman" w:hAnsi="Times New Roman" w:eastAsia="仿宋_GB2312" w:cs="Times New Roman"/>
          <w:sz w:val="32"/>
          <w:szCs w:val="32"/>
        </w:rPr>
        <w:t>kW</w:t>
      </w:r>
      <w:r>
        <w:rPr>
          <w:rFonts w:hint="eastAsia" w:ascii="Times New Roman" w:hAnsi="Times New Roman" w:eastAsia="仿宋_GB2312" w:cs="Times New Roman"/>
          <w:sz w:val="32"/>
          <w:szCs w:val="32"/>
        </w:rPr>
        <w:t>的交流充电桩。推进换电模式试点，每座换电站满足50辆车换电需求。</w:t>
      </w:r>
    </w:p>
    <w:p>
      <w:pPr>
        <w:pStyle w:val="26"/>
        <w:spacing w:beforeLines="50" w:line="580" w:lineRule="exact"/>
        <w:ind w:firstLine="0"/>
        <w:rPr>
          <w:rFonts w:eastAsia="仿宋_GB2312"/>
          <w:bCs/>
          <w:sz w:val="24"/>
          <w:szCs w:val="24"/>
        </w:rPr>
      </w:pPr>
      <w:r>
        <w:rPr>
          <w:rFonts w:hint="eastAsia" w:eastAsia="仿宋_GB2312"/>
          <w:bCs/>
          <w:sz w:val="24"/>
          <w:szCs w:val="24"/>
        </w:rPr>
        <w:t xml:space="preserve">表24  </w:t>
      </w:r>
      <w:r>
        <w:rPr>
          <w:rFonts w:eastAsia="仿宋_GB2312"/>
          <w:bCs/>
          <w:sz w:val="24"/>
          <w:szCs w:val="24"/>
        </w:rPr>
        <w:t>陕西省</w:t>
      </w:r>
      <w:r>
        <w:rPr>
          <w:rFonts w:hint="eastAsia" w:eastAsia="仿宋_GB2312"/>
          <w:bCs/>
          <w:sz w:val="24"/>
          <w:szCs w:val="24"/>
        </w:rPr>
        <w:t>“十四</w:t>
      </w:r>
      <w:r>
        <w:rPr>
          <w:rFonts w:eastAsia="仿宋_GB2312"/>
          <w:bCs/>
          <w:sz w:val="24"/>
          <w:szCs w:val="24"/>
        </w:rPr>
        <w:t>五</w:t>
      </w:r>
      <w:r>
        <w:rPr>
          <w:rFonts w:hint="eastAsia" w:eastAsia="仿宋_GB2312"/>
          <w:bCs/>
          <w:sz w:val="24"/>
          <w:szCs w:val="24"/>
        </w:rPr>
        <w:t>”专用</w:t>
      </w:r>
      <w:r>
        <w:rPr>
          <w:rFonts w:eastAsia="仿宋_GB2312"/>
          <w:bCs/>
          <w:sz w:val="24"/>
          <w:szCs w:val="24"/>
        </w:rPr>
        <w:t>充电设施建设需求预测</w:t>
      </w:r>
      <w:r>
        <w:rPr>
          <w:rFonts w:hint="eastAsia" w:eastAsia="仿宋_GB2312"/>
          <w:bCs/>
          <w:sz w:val="24"/>
          <w:szCs w:val="24"/>
        </w:rPr>
        <w:t>（单位：万根）</w:t>
      </w:r>
    </w:p>
    <w:tbl>
      <w:tblPr>
        <w:tblStyle w:val="1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98"/>
        <w:gridCol w:w="19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6598" w:type="dxa"/>
            <w:shd w:val="clear" w:color="auto" w:fill="auto"/>
            <w:vAlign w:val="center"/>
          </w:tcPr>
          <w:p>
            <w:pPr>
              <w:pStyle w:val="27"/>
              <w:spacing w:line="300" w:lineRule="exact"/>
              <w:jc w:val="center"/>
              <w:rPr>
                <w:rFonts w:ascii="仿宋" w:hAnsi="仿宋" w:eastAsia="仿宋"/>
              </w:rPr>
            </w:pPr>
            <w:r>
              <w:rPr>
                <w:rFonts w:hint="eastAsia" w:ascii="仿宋" w:hAnsi="仿宋" w:eastAsia="仿宋"/>
              </w:rPr>
              <w:t>类型</w:t>
            </w:r>
          </w:p>
        </w:tc>
        <w:tc>
          <w:tcPr>
            <w:tcW w:w="1924" w:type="dxa"/>
            <w:shd w:val="clear" w:color="auto" w:fill="auto"/>
            <w:vAlign w:val="center"/>
          </w:tcPr>
          <w:p>
            <w:pPr>
              <w:pStyle w:val="27"/>
              <w:spacing w:line="300" w:lineRule="exact"/>
              <w:jc w:val="center"/>
              <w:rPr>
                <w:rFonts w:ascii="仿宋" w:hAnsi="仿宋" w:eastAsia="仿宋"/>
              </w:rPr>
            </w:pPr>
            <w:r>
              <w:rPr>
                <w:rFonts w:hint="eastAsia" w:ascii="仿宋" w:hAnsi="仿宋" w:eastAsia="仿宋"/>
              </w:rPr>
              <w:t>“十四五”新增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6598" w:type="dxa"/>
            <w:shd w:val="clear" w:color="auto" w:fill="auto"/>
            <w:vAlign w:val="center"/>
          </w:tcPr>
          <w:p>
            <w:pPr>
              <w:pStyle w:val="27"/>
              <w:spacing w:line="300" w:lineRule="exact"/>
              <w:jc w:val="center"/>
              <w:rPr>
                <w:rFonts w:ascii="仿宋" w:hAnsi="仿宋" w:eastAsia="仿宋"/>
              </w:rPr>
            </w:pPr>
            <w:r>
              <w:rPr>
                <w:rFonts w:hint="eastAsia" w:ascii="仿宋" w:hAnsi="仿宋" w:eastAsia="仿宋"/>
              </w:rPr>
              <w:t>公交车充电桩</w:t>
            </w:r>
          </w:p>
        </w:tc>
        <w:tc>
          <w:tcPr>
            <w:tcW w:w="1924" w:type="dxa"/>
            <w:shd w:val="clear" w:color="auto" w:fill="auto"/>
            <w:vAlign w:val="center"/>
          </w:tcPr>
          <w:p>
            <w:pPr>
              <w:widowControl/>
              <w:spacing w:line="300" w:lineRule="exact"/>
              <w:jc w:val="center"/>
              <w:textAlignment w:val="center"/>
              <w:rPr>
                <w:rFonts w:ascii="Times New Roman" w:hAnsi="Times New Roman" w:eastAsia="宋体" w:cs="Times New Roman"/>
                <w:kern w:val="0"/>
                <w:sz w:val="22"/>
                <w:szCs w:val="22"/>
              </w:rPr>
            </w:pPr>
            <w:r>
              <w:rPr>
                <w:rFonts w:ascii="Times New Roman" w:hAnsi="Times New Roman" w:eastAsia="宋体" w:cs="Times New Roman"/>
                <w:kern w:val="0"/>
                <w:sz w:val="22"/>
                <w:szCs w:val="22"/>
              </w:rPr>
              <w:t>0.</w:t>
            </w:r>
            <w:r>
              <w:rPr>
                <w:rFonts w:hint="eastAsia" w:ascii="Times New Roman" w:hAnsi="Times New Roman" w:eastAsia="宋体" w:cs="Times New Roman"/>
                <w:kern w:val="0"/>
                <w:sz w:val="22"/>
                <w:szCs w:val="22"/>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6598" w:type="dxa"/>
            <w:shd w:val="clear" w:color="auto" w:fill="auto"/>
            <w:vAlign w:val="center"/>
          </w:tcPr>
          <w:p>
            <w:pPr>
              <w:pStyle w:val="27"/>
              <w:spacing w:line="300" w:lineRule="exact"/>
              <w:jc w:val="center"/>
              <w:rPr>
                <w:rFonts w:ascii="仿宋" w:hAnsi="仿宋" w:eastAsia="仿宋"/>
              </w:rPr>
            </w:pPr>
            <w:r>
              <w:rPr>
                <w:rFonts w:hint="eastAsia" w:ascii="仿宋" w:hAnsi="仿宋" w:eastAsia="仿宋"/>
              </w:rPr>
              <w:t>环卫车充电桩</w:t>
            </w:r>
          </w:p>
        </w:tc>
        <w:tc>
          <w:tcPr>
            <w:tcW w:w="1924" w:type="dxa"/>
            <w:shd w:val="clear" w:color="auto" w:fill="auto"/>
            <w:vAlign w:val="center"/>
          </w:tcPr>
          <w:p>
            <w:pPr>
              <w:widowControl/>
              <w:spacing w:line="300" w:lineRule="exact"/>
              <w:jc w:val="center"/>
              <w:textAlignment w:val="center"/>
              <w:rPr>
                <w:rFonts w:ascii="Times New Roman" w:hAnsi="Times New Roman" w:eastAsia="宋体" w:cs="Times New Roman"/>
                <w:kern w:val="0"/>
                <w:sz w:val="22"/>
                <w:szCs w:val="22"/>
              </w:rPr>
            </w:pPr>
            <w:r>
              <w:rPr>
                <w:rFonts w:ascii="Times New Roman" w:hAnsi="Times New Roman" w:eastAsia="宋体" w:cs="Times New Roman"/>
                <w:kern w:val="0"/>
                <w:sz w:val="22"/>
                <w:szCs w:val="22"/>
              </w:rPr>
              <w:t>0.0</w:t>
            </w:r>
            <w:r>
              <w:rPr>
                <w:rFonts w:hint="eastAsia" w:ascii="Times New Roman" w:hAnsi="Times New Roman" w:eastAsia="宋体" w:cs="Times New Roman"/>
                <w:kern w:val="0"/>
                <w:sz w:val="22"/>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6598" w:type="dxa"/>
            <w:shd w:val="clear" w:color="auto" w:fill="auto"/>
            <w:vAlign w:val="center"/>
          </w:tcPr>
          <w:p>
            <w:pPr>
              <w:pStyle w:val="27"/>
              <w:spacing w:line="300" w:lineRule="exact"/>
              <w:jc w:val="center"/>
              <w:rPr>
                <w:rFonts w:ascii="仿宋" w:hAnsi="仿宋" w:eastAsia="仿宋"/>
              </w:rPr>
            </w:pPr>
            <w:r>
              <w:rPr>
                <w:rFonts w:hint="eastAsia" w:ascii="仿宋" w:hAnsi="仿宋" w:eastAsia="仿宋"/>
              </w:rPr>
              <w:t>电动客运班车、旅游客车充电桩</w:t>
            </w:r>
          </w:p>
        </w:tc>
        <w:tc>
          <w:tcPr>
            <w:tcW w:w="1924" w:type="dxa"/>
            <w:shd w:val="clear" w:color="auto" w:fill="auto"/>
            <w:vAlign w:val="center"/>
          </w:tcPr>
          <w:p>
            <w:pPr>
              <w:widowControl/>
              <w:spacing w:line="300" w:lineRule="exact"/>
              <w:jc w:val="center"/>
              <w:textAlignment w:val="center"/>
              <w:rPr>
                <w:rFonts w:eastAsia="宋体"/>
                <w:sz w:val="22"/>
                <w:szCs w:val="22"/>
              </w:rPr>
            </w:pPr>
            <w:r>
              <w:rPr>
                <w:rFonts w:ascii="Times New Roman" w:hAnsi="Times New Roman" w:eastAsia="宋体" w:cs="Times New Roman"/>
                <w:kern w:val="0"/>
                <w:sz w:val="22"/>
                <w:szCs w:val="22"/>
              </w:rPr>
              <w:t>0.</w:t>
            </w:r>
            <w:r>
              <w:rPr>
                <w:rFonts w:hint="eastAsia" w:ascii="Times New Roman" w:hAnsi="Times New Roman" w:eastAsia="宋体" w:cs="Times New Roman"/>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6598" w:type="dxa"/>
            <w:shd w:val="clear" w:color="auto" w:fill="auto"/>
            <w:vAlign w:val="center"/>
          </w:tcPr>
          <w:p>
            <w:pPr>
              <w:pStyle w:val="27"/>
              <w:spacing w:line="300" w:lineRule="exact"/>
              <w:jc w:val="center"/>
              <w:rPr>
                <w:rFonts w:ascii="仿宋" w:hAnsi="仿宋" w:eastAsia="仿宋"/>
              </w:rPr>
            </w:pPr>
            <w:r>
              <w:rPr>
                <w:rFonts w:hint="eastAsia" w:ascii="仿宋" w:hAnsi="仿宋" w:eastAsia="仿宋"/>
              </w:rPr>
              <w:t>其他车辆（机场用车、工程车辆）</w:t>
            </w:r>
          </w:p>
        </w:tc>
        <w:tc>
          <w:tcPr>
            <w:tcW w:w="1924" w:type="dxa"/>
            <w:shd w:val="clear" w:color="auto" w:fill="auto"/>
            <w:vAlign w:val="center"/>
          </w:tcPr>
          <w:p>
            <w:pPr>
              <w:widowControl/>
              <w:spacing w:line="300" w:lineRule="exact"/>
              <w:jc w:val="center"/>
              <w:textAlignment w:val="center"/>
              <w:rPr>
                <w:rFonts w:eastAsia="宋体"/>
                <w:sz w:val="22"/>
                <w:szCs w:val="22"/>
              </w:rPr>
            </w:pPr>
            <w:r>
              <w:rPr>
                <w:rFonts w:ascii="Times New Roman" w:hAnsi="Times New Roman" w:eastAsia="宋体" w:cs="Times New Roman"/>
                <w:kern w:val="0"/>
                <w:sz w:val="22"/>
                <w:szCs w:val="22"/>
              </w:rPr>
              <w:t>0.0</w:t>
            </w:r>
            <w:r>
              <w:rPr>
                <w:rFonts w:hint="eastAsia" w:ascii="Times New Roman" w:hAnsi="Times New Roman" w:eastAsia="宋体" w:cs="Times New Roman"/>
                <w:kern w:val="0"/>
                <w:sz w:val="22"/>
                <w:szCs w:val="2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6598" w:type="dxa"/>
            <w:shd w:val="clear" w:color="auto" w:fill="auto"/>
            <w:vAlign w:val="center"/>
          </w:tcPr>
          <w:p>
            <w:pPr>
              <w:pStyle w:val="27"/>
              <w:spacing w:line="300" w:lineRule="exact"/>
              <w:jc w:val="center"/>
              <w:rPr>
                <w:rFonts w:ascii="仿宋" w:hAnsi="仿宋" w:eastAsia="仿宋"/>
              </w:rPr>
            </w:pPr>
            <w:r>
              <w:rPr>
                <w:rFonts w:hint="eastAsia" w:ascii="仿宋" w:hAnsi="仿宋" w:eastAsia="仿宋"/>
              </w:rPr>
              <w:t>私人机公务车充电桩</w:t>
            </w:r>
          </w:p>
        </w:tc>
        <w:tc>
          <w:tcPr>
            <w:tcW w:w="1924" w:type="dxa"/>
            <w:shd w:val="clear" w:color="auto" w:fill="auto"/>
            <w:vAlign w:val="center"/>
          </w:tcPr>
          <w:p>
            <w:pPr>
              <w:widowControl/>
              <w:spacing w:line="300" w:lineRule="exact"/>
              <w:jc w:val="center"/>
              <w:textAlignment w:val="center"/>
              <w:rPr>
                <w:rFonts w:ascii="Times New Roman" w:hAnsi="Times New Roman" w:eastAsia="宋体" w:cs="Times New Roman"/>
                <w:kern w:val="0"/>
                <w:sz w:val="22"/>
                <w:szCs w:val="22"/>
              </w:rPr>
            </w:pPr>
            <w:r>
              <w:rPr>
                <w:rFonts w:ascii="Times New Roman" w:hAnsi="Times New Roman" w:eastAsia="宋体" w:cs="Times New Roman"/>
                <w:kern w:val="0"/>
                <w:sz w:val="22"/>
                <w:szCs w:val="22"/>
              </w:rPr>
              <w:t>2</w:t>
            </w:r>
            <w:r>
              <w:rPr>
                <w:rFonts w:hint="eastAsia" w:ascii="Times New Roman" w:hAnsi="Times New Roman" w:eastAsia="宋体" w:cs="Times New Roman"/>
                <w:kern w:val="0"/>
                <w:sz w:val="22"/>
                <w:szCs w:val="22"/>
              </w:rPr>
              <w:t>9.45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6598" w:type="dxa"/>
            <w:shd w:val="clear" w:color="auto" w:fill="auto"/>
            <w:vAlign w:val="center"/>
          </w:tcPr>
          <w:p>
            <w:pPr>
              <w:pStyle w:val="27"/>
              <w:spacing w:line="300" w:lineRule="exact"/>
              <w:jc w:val="center"/>
              <w:rPr>
                <w:rFonts w:ascii="仿宋" w:hAnsi="仿宋" w:eastAsia="仿宋"/>
              </w:rPr>
            </w:pPr>
            <w:r>
              <w:rPr>
                <w:rFonts w:hint="eastAsia" w:ascii="仿宋" w:hAnsi="仿宋" w:eastAsia="仿宋"/>
              </w:rPr>
              <w:t>合计</w:t>
            </w:r>
          </w:p>
        </w:tc>
        <w:tc>
          <w:tcPr>
            <w:tcW w:w="1924" w:type="dxa"/>
            <w:shd w:val="clear" w:color="auto" w:fill="auto"/>
            <w:vAlign w:val="center"/>
          </w:tcPr>
          <w:p>
            <w:pPr>
              <w:widowControl/>
              <w:spacing w:line="300" w:lineRule="exact"/>
              <w:jc w:val="center"/>
              <w:textAlignment w:val="center"/>
              <w:rPr>
                <w:rFonts w:eastAsia="宋体"/>
                <w:sz w:val="22"/>
                <w:szCs w:val="22"/>
              </w:rPr>
            </w:pPr>
            <w:r>
              <w:rPr>
                <w:rFonts w:hint="eastAsia" w:ascii="Times New Roman" w:hAnsi="Times New Roman" w:eastAsia="宋体" w:cs="Times New Roman"/>
                <w:kern w:val="0"/>
                <w:sz w:val="22"/>
                <w:szCs w:val="22"/>
              </w:rPr>
              <w:t>30.11</w:t>
            </w:r>
          </w:p>
        </w:tc>
      </w:tr>
    </w:tbl>
    <w:p>
      <w:bookmarkStart w:id="43" w:name="_Toc47622932"/>
    </w:p>
    <w:p>
      <w:pPr>
        <w:pStyle w:val="26"/>
        <w:spacing w:beforeLines="50" w:line="580" w:lineRule="exact"/>
        <w:ind w:firstLine="0"/>
        <w:rPr>
          <w:rFonts w:eastAsia="仿宋_GB2312"/>
          <w:bCs/>
          <w:sz w:val="24"/>
          <w:szCs w:val="24"/>
        </w:rPr>
      </w:pPr>
      <w:r>
        <w:rPr>
          <w:rFonts w:hint="eastAsia" w:eastAsia="仿宋_GB2312"/>
          <w:bCs/>
          <w:sz w:val="24"/>
          <w:szCs w:val="24"/>
        </w:rPr>
        <w:t>表</w:t>
      </w:r>
      <w:r>
        <w:rPr>
          <w:rFonts w:eastAsia="仿宋_GB2312"/>
          <w:bCs/>
          <w:sz w:val="24"/>
          <w:szCs w:val="24"/>
        </w:rPr>
        <w:t xml:space="preserve">25 </w:t>
      </w:r>
      <w:r>
        <w:rPr>
          <w:rFonts w:hint="eastAsia" w:eastAsia="仿宋_GB2312"/>
          <w:bCs/>
          <w:sz w:val="24"/>
          <w:szCs w:val="24"/>
        </w:rPr>
        <w:t xml:space="preserve"> 陕西省“十四五”换电设施建设需求预测（单位：座）</w:t>
      </w:r>
    </w:p>
    <w:tbl>
      <w:tblPr>
        <w:tblStyle w:val="1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98"/>
        <w:gridCol w:w="19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6598" w:type="dxa"/>
            <w:shd w:val="clear" w:color="auto" w:fill="auto"/>
            <w:vAlign w:val="center"/>
          </w:tcPr>
          <w:p>
            <w:pPr>
              <w:pStyle w:val="27"/>
              <w:spacing w:line="300" w:lineRule="exact"/>
              <w:jc w:val="center"/>
              <w:rPr>
                <w:rFonts w:ascii="仿宋" w:hAnsi="仿宋" w:eastAsia="仿宋"/>
              </w:rPr>
            </w:pPr>
            <w:r>
              <w:rPr>
                <w:rFonts w:hint="eastAsia" w:ascii="仿宋" w:hAnsi="仿宋" w:eastAsia="仿宋"/>
              </w:rPr>
              <w:t>类型</w:t>
            </w:r>
          </w:p>
        </w:tc>
        <w:tc>
          <w:tcPr>
            <w:tcW w:w="1924" w:type="dxa"/>
            <w:shd w:val="clear" w:color="auto" w:fill="auto"/>
            <w:vAlign w:val="center"/>
          </w:tcPr>
          <w:p>
            <w:pPr>
              <w:pStyle w:val="27"/>
              <w:spacing w:line="300" w:lineRule="exact"/>
              <w:jc w:val="center"/>
              <w:rPr>
                <w:rFonts w:ascii="仿宋" w:hAnsi="仿宋" w:eastAsia="仿宋"/>
              </w:rPr>
            </w:pPr>
            <w:r>
              <w:rPr>
                <w:rFonts w:hint="eastAsia" w:ascii="仿宋" w:hAnsi="仿宋" w:eastAsia="仿宋"/>
              </w:rPr>
              <w:t>“十四五”新增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6598" w:type="dxa"/>
            <w:shd w:val="clear" w:color="auto" w:fill="auto"/>
            <w:vAlign w:val="center"/>
          </w:tcPr>
          <w:p>
            <w:pPr>
              <w:pStyle w:val="27"/>
              <w:spacing w:line="300" w:lineRule="exact"/>
              <w:jc w:val="center"/>
              <w:rPr>
                <w:rFonts w:ascii="仿宋" w:hAnsi="仿宋" w:eastAsia="仿宋"/>
              </w:rPr>
            </w:pPr>
            <w:r>
              <w:rPr>
                <w:rFonts w:hint="eastAsia" w:ascii="仿宋" w:hAnsi="仿宋" w:eastAsia="仿宋"/>
              </w:rPr>
              <w:t>换电站</w:t>
            </w:r>
          </w:p>
        </w:tc>
        <w:tc>
          <w:tcPr>
            <w:tcW w:w="1924" w:type="dxa"/>
            <w:shd w:val="clear" w:color="auto" w:fill="auto"/>
            <w:vAlign w:val="center"/>
          </w:tcPr>
          <w:p>
            <w:pPr>
              <w:widowControl/>
              <w:spacing w:line="300" w:lineRule="exact"/>
              <w:jc w:val="center"/>
              <w:textAlignment w:val="center"/>
              <w:rPr>
                <w:rFonts w:ascii="Times New Roman" w:hAnsi="Times New Roman" w:eastAsia="宋体" w:cs="Times New Roman"/>
                <w:kern w:val="0"/>
                <w:sz w:val="22"/>
                <w:szCs w:val="22"/>
              </w:rPr>
            </w:pPr>
            <w:r>
              <w:rPr>
                <w:rFonts w:ascii="Times New Roman" w:hAnsi="Times New Roman" w:eastAsia="宋体" w:cs="Times New Roman"/>
                <w:kern w:val="0"/>
                <w:sz w:val="22"/>
                <w:szCs w:val="22"/>
              </w:rPr>
              <w:t>2</w:t>
            </w:r>
            <w:r>
              <w:rPr>
                <w:rFonts w:hint="eastAsia" w:ascii="Times New Roman" w:hAnsi="Times New Roman" w:eastAsia="宋体" w:cs="Times New Roman"/>
                <w:kern w:val="0"/>
                <w:sz w:val="22"/>
                <w:szCs w:val="22"/>
              </w:rPr>
              <w:t>0</w:t>
            </w:r>
          </w:p>
        </w:tc>
      </w:tr>
    </w:tbl>
    <w:p>
      <w:pPr>
        <w:pStyle w:val="5"/>
        <w:spacing w:beforeLines="50" w:line="580" w:lineRule="exact"/>
        <w:ind w:firstLine="643"/>
      </w:pPr>
      <w:bookmarkStart w:id="44" w:name="_Toc15199"/>
      <w:r>
        <w:rPr>
          <w:rFonts w:hint="eastAsia"/>
        </w:rPr>
        <w:t>2.城市公用充电设施</w:t>
      </w:r>
      <w:bookmarkEnd w:id="43"/>
      <w:bookmarkEnd w:id="44"/>
    </w:p>
    <w:p>
      <w:pPr>
        <w:adjustRightInd w:val="0"/>
        <w:snapToGrid w:val="0"/>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公用充电设施主要满足巡游出租车、网约出租车、物流车的充电需求，同时为其他车辆提供充电补充（主要为私人乘用车充电量的30%），公共充电桩以60kW直流充电桩为主体，小区内公共充电桩主要采用20kW小功率直流充电桩，充电桩最大利用小时数占比设定为10%（此时公共充电站投资回收期约为4-5年左右）。</w:t>
      </w:r>
    </w:p>
    <w:p>
      <w:pPr>
        <w:pStyle w:val="26"/>
        <w:spacing w:beforeLines="50" w:line="580" w:lineRule="exact"/>
        <w:rPr>
          <w:rFonts w:eastAsia="仿宋_GB2312"/>
          <w:bCs/>
          <w:sz w:val="24"/>
          <w:szCs w:val="24"/>
        </w:rPr>
      </w:pPr>
      <w:r>
        <w:rPr>
          <w:rFonts w:hint="eastAsia" w:eastAsia="仿宋_GB2312"/>
          <w:bCs/>
          <w:sz w:val="24"/>
          <w:szCs w:val="24"/>
        </w:rPr>
        <w:t xml:space="preserve">表26  </w:t>
      </w:r>
      <w:r>
        <w:rPr>
          <w:rFonts w:eastAsia="仿宋_GB2312"/>
          <w:bCs/>
          <w:sz w:val="24"/>
          <w:szCs w:val="24"/>
        </w:rPr>
        <w:t>陕西省</w:t>
      </w:r>
      <w:r>
        <w:rPr>
          <w:rFonts w:hint="eastAsia" w:eastAsia="仿宋_GB2312"/>
          <w:bCs/>
          <w:sz w:val="24"/>
          <w:szCs w:val="24"/>
        </w:rPr>
        <w:t>“十四</w:t>
      </w:r>
      <w:r>
        <w:rPr>
          <w:rFonts w:eastAsia="仿宋_GB2312"/>
          <w:bCs/>
          <w:sz w:val="24"/>
          <w:szCs w:val="24"/>
        </w:rPr>
        <w:t>五</w:t>
      </w:r>
      <w:r>
        <w:rPr>
          <w:rFonts w:hint="eastAsia" w:eastAsia="仿宋_GB2312"/>
          <w:bCs/>
          <w:sz w:val="24"/>
          <w:szCs w:val="24"/>
        </w:rPr>
        <w:t>”城市公用</w:t>
      </w:r>
      <w:r>
        <w:rPr>
          <w:rFonts w:eastAsia="仿宋_GB2312"/>
          <w:bCs/>
          <w:sz w:val="24"/>
          <w:szCs w:val="24"/>
        </w:rPr>
        <w:t>充电设施</w:t>
      </w:r>
      <w:r>
        <w:rPr>
          <w:rFonts w:hint="eastAsia" w:eastAsia="仿宋_GB2312"/>
          <w:bCs/>
          <w:sz w:val="24"/>
          <w:szCs w:val="24"/>
        </w:rPr>
        <w:t>保有量</w:t>
      </w:r>
      <w:r>
        <w:rPr>
          <w:rFonts w:eastAsia="仿宋_GB2312"/>
          <w:bCs/>
          <w:sz w:val="24"/>
          <w:szCs w:val="24"/>
        </w:rPr>
        <w:t>需求预测</w:t>
      </w:r>
      <w:r>
        <w:rPr>
          <w:rFonts w:hint="eastAsia" w:eastAsia="仿宋_GB2312"/>
          <w:bCs/>
          <w:sz w:val="24"/>
          <w:szCs w:val="24"/>
        </w:rPr>
        <w:t>（单位：万根）</w:t>
      </w:r>
    </w:p>
    <w:tbl>
      <w:tblPr>
        <w:tblStyle w:val="1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01"/>
        <w:gridCol w:w="3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101" w:type="dxa"/>
            <w:tcBorders>
              <w:tl2br w:val="nil"/>
              <w:tr2bl w:val="nil"/>
            </w:tcBorders>
            <w:shd w:val="clear" w:color="auto" w:fill="auto"/>
            <w:vAlign w:val="center"/>
          </w:tcPr>
          <w:p>
            <w:pPr>
              <w:pStyle w:val="27"/>
              <w:spacing w:line="300" w:lineRule="exact"/>
              <w:jc w:val="center"/>
              <w:rPr>
                <w:rFonts w:ascii="仿宋" w:hAnsi="仿宋" w:eastAsia="仿宋"/>
              </w:rPr>
            </w:pPr>
            <w:r>
              <w:rPr>
                <w:rFonts w:hint="eastAsia" w:ascii="仿宋" w:hAnsi="仿宋" w:eastAsia="仿宋"/>
              </w:rPr>
              <w:t>类型</w:t>
            </w:r>
          </w:p>
        </w:tc>
        <w:tc>
          <w:tcPr>
            <w:tcW w:w="3421" w:type="dxa"/>
            <w:tcBorders>
              <w:tl2br w:val="nil"/>
              <w:tr2bl w:val="nil"/>
            </w:tcBorders>
            <w:shd w:val="clear" w:color="auto" w:fill="auto"/>
            <w:vAlign w:val="center"/>
          </w:tcPr>
          <w:p>
            <w:pPr>
              <w:pStyle w:val="27"/>
              <w:spacing w:line="300" w:lineRule="exact"/>
              <w:jc w:val="center"/>
            </w:pPr>
            <w:r>
              <w:rPr>
                <w:rFonts w:hint="eastAsia" w:ascii="仿宋" w:hAnsi="仿宋" w:eastAsia="仿宋"/>
              </w:rPr>
              <w:t>“十四五”新增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101" w:type="dxa"/>
            <w:tcBorders>
              <w:tl2br w:val="nil"/>
              <w:tr2bl w:val="nil"/>
            </w:tcBorders>
            <w:shd w:val="clear" w:color="auto" w:fill="auto"/>
            <w:vAlign w:val="center"/>
          </w:tcPr>
          <w:p>
            <w:pPr>
              <w:pStyle w:val="27"/>
              <w:spacing w:line="300" w:lineRule="exact"/>
              <w:jc w:val="center"/>
              <w:rPr>
                <w:rFonts w:eastAsia="仿宋"/>
              </w:rPr>
            </w:pPr>
            <w:r>
              <w:rPr>
                <w:rFonts w:hint="eastAsia" w:eastAsia="仿宋"/>
              </w:rPr>
              <w:t>直流公共充电桩（</w:t>
            </w:r>
            <w:r>
              <w:rPr>
                <w:rFonts w:eastAsia="仿宋"/>
              </w:rPr>
              <w:t>60kW</w:t>
            </w:r>
            <w:r>
              <w:rPr>
                <w:rFonts w:hint="eastAsia" w:eastAsia="仿宋"/>
              </w:rPr>
              <w:t>）</w:t>
            </w:r>
          </w:p>
        </w:tc>
        <w:tc>
          <w:tcPr>
            <w:tcW w:w="3421" w:type="dxa"/>
            <w:tcBorders>
              <w:tl2br w:val="nil"/>
              <w:tr2bl w:val="nil"/>
            </w:tcBorders>
            <w:shd w:val="clear" w:color="auto" w:fill="auto"/>
            <w:vAlign w:val="center"/>
          </w:tcPr>
          <w:p>
            <w:pPr>
              <w:pStyle w:val="27"/>
              <w:widowControl/>
              <w:spacing w:line="300" w:lineRule="exact"/>
              <w:jc w:val="center"/>
              <w:textAlignment w:val="center"/>
            </w:pPr>
            <w:r>
              <w:rPr>
                <w:rFonts w:hint="eastAsia"/>
              </w:rPr>
              <w:t>1.75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101" w:type="dxa"/>
            <w:tcBorders>
              <w:tl2br w:val="nil"/>
              <w:tr2bl w:val="nil"/>
            </w:tcBorders>
            <w:shd w:val="clear" w:color="auto" w:fill="auto"/>
            <w:vAlign w:val="center"/>
          </w:tcPr>
          <w:p>
            <w:pPr>
              <w:pStyle w:val="27"/>
              <w:spacing w:line="300" w:lineRule="exact"/>
              <w:jc w:val="center"/>
              <w:rPr>
                <w:rFonts w:eastAsia="仿宋"/>
              </w:rPr>
            </w:pPr>
            <w:r>
              <w:rPr>
                <w:rFonts w:hint="eastAsia" w:eastAsia="仿宋"/>
              </w:rPr>
              <w:t>小功率直流公共充电桩（</w:t>
            </w:r>
            <w:r>
              <w:rPr>
                <w:rFonts w:eastAsia="仿宋"/>
              </w:rPr>
              <w:t>20kW</w:t>
            </w:r>
            <w:r>
              <w:rPr>
                <w:rFonts w:hint="eastAsia" w:eastAsia="仿宋"/>
              </w:rPr>
              <w:t>）</w:t>
            </w:r>
          </w:p>
        </w:tc>
        <w:tc>
          <w:tcPr>
            <w:tcW w:w="3421" w:type="dxa"/>
            <w:tcBorders>
              <w:tl2br w:val="nil"/>
              <w:tr2bl w:val="nil"/>
            </w:tcBorders>
            <w:shd w:val="clear" w:color="auto" w:fill="auto"/>
            <w:vAlign w:val="center"/>
          </w:tcPr>
          <w:p>
            <w:pPr>
              <w:pStyle w:val="27"/>
              <w:spacing w:line="300" w:lineRule="exact"/>
              <w:jc w:val="center"/>
            </w:pPr>
            <w:r>
              <w:rPr>
                <w:rFonts w:hint="eastAsia"/>
              </w:rPr>
              <w:t>2.24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101" w:type="dxa"/>
            <w:tcBorders>
              <w:tl2br w:val="nil"/>
              <w:tr2bl w:val="nil"/>
            </w:tcBorders>
            <w:shd w:val="clear" w:color="auto" w:fill="auto"/>
            <w:vAlign w:val="center"/>
          </w:tcPr>
          <w:p>
            <w:pPr>
              <w:pStyle w:val="27"/>
              <w:spacing w:line="300" w:lineRule="exact"/>
              <w:jc w:val="center"/>
              <w:rPr>
                <w:rFonts w:ascii="仿宋" w:hAnsi="仿宋" w:eastAsia="仿宋"/>
              </w:rPr>
            </w:pPr>
            <w:r>
              <w:rPr>
                <w:rFonts w:hint="eastAsia" w:ascii="仿宋" w:hAnsi="仿宋" w:eastAsia="仿宋"/>
              </w:rPr>
              <w:t>合计</w:t>
            </w:r>
          </w:p>
        </w:tc>
        <w:tc>
          <w:tcPr>
            <w:tcW w:w="3421" w:type="dxa"/>
            <w:tcBorders>
              <w:tl2br w:val="nil"/>
              <w:tr2bl w:val="nil"/>
            </w:tcBorders>
            <w:shd w:val="clear" w:color="auto" w:fill="auto"/>
            <w:vAlign w:val="center"/>
          </w:tcPr>
          <w:p>
            <w:pPr>
              <w:pStyle w:val="27"/>
              <w:spacing w:line="300" w:lineRule="exact"/>
              <w:jc w:val="center"/>
            </w:pPr>
            <w:r>
              <w:rPr>
                <w:rFonts w:hint="eastAsia"/>
              </w:rPr>
              <w:t>3.99</w:t>
            </w:r>
          </w:p>
        </w:tc>
      </w:tr>
    </w:tbl>
    <w:p>
      <w:pPr>
        <w:pStyle w:val="5"/>
        <w:spacing w:beforeLines="50" w:line="580" w:lineRule="exact"/>
        <w:ind w:firstLine="643"/>
      </w:pPr>
      <w:bookmarkStart w:id="45" w:name="_Toc32343"/>
      <w:r>
        <w:rPr>
          <w:rFonts w:hint="eastAsia"/>
        </w:rPr>
        <w:t>3.城际公用充电设施</w:t>
      </w:r>
      <w:bookmarkEnd w:id="45"/>
    </w:p>
    <w:p>
      <w:pPr>
        <w:pStyle w:val="2"/>
        <w:spacing w:line="580" w:lineRule="exact"/>
        <w:ind w:firstLine="640"/>
        <w:rPr>
          <w:rFonts w:eastAsia="仿宋_GB2312"/>
          <w:sz w:val="32"/>
          <w:szCs w:val="40"/>
        </w:rPr>
      </w:pPr>
      <w:r>
        <w:rPr>
          <w:rFonts w:eastAsia="仿宋_GB2312"/>
          <w:sz w:val="32"/>
          <w:szCs w:val="40"/>
        </w:rPr>
        <w:t>省内</w:t>
      </w:r>
      <w:r>
        <w:rPr>
          <w:rFonts w:hint="eastAsia" w:eastAsia="仿宋_GB2312"/>
          <w:sz w:val="32"/>
          <w:szCs w:val="40"/>
        </w:rPr>
        <w:t>“</w:t>
      </w:r>
      <w:r>
        <w:rPr>
          <w:rFonts w:eastAsia="仿宋_GB2312"/>
          <w:sz w:val="32"/>
          <w:szCs w:val="40"/>
        </w:rPr>
        <w:t>十四五</w:t>
      </w:r>
      <w:r>
        <w:rPr>
          <w:rFonts w:hint="eastAsia" w:eastAsia="仿宋_GB2312"/>
          <w:sz w:val="32"/>
          <w:szCs w:val="40"/>
        </w:rPr>
        <w:t>”</w:t>
      </w:r>
      <w:r>
        <w:rPr>
          <w:rFonts w:eastAsia="仿宋_GB2312"/>
          <w:sz w:val="32"/>
          <w:szCs w:val="40"/>
        </w:rPr>
        <w:t>规划新建高速公路约</w:t>
      </w:r>
      <w:r>
        <w:rPr>
          <w:rFonts w:hint="eastAsia" w:eastAsia="仿宋_GB2312"/>
          <w:sz w:val="32"/>
          <w:szCs w:val="40"/>
        </w:rPr>
        <w:t>3</w:t>
      </w:r>
      <w:r>
        <w:rPr>
          <w:rFonts w:eastAsia="仿宋_GB2312"/>
          <w:sz w:val="32"/>
          <w:szCs w:val="40"/>
        </w:rPr>
        <w:t>00km，约50km设置一对服务区，考虑在每个服务区设置1座充电站，含10根60kW直流充电桩</w:t>
      </w:r>
      <w:r>
        <w:rPr>
          <w:rFonts w:hint="eastAsia" w:eastAsia="仿宋_GB2312"/>
          <w:sz w:val="32"/>
          <w:szCs w:val="40"/>
        </w:rPr>
        <w:t>，</w:t>
      </w:r>
      <w:r>
        <w:rPr>
          <w:rFonts w:eastAsia="仿宋_GB2312"/>
          <w:sz w:val="32"/>
          <w:szCs w:val="40"/>
        </w:rPr>
        <w:t>可在流量大的服务区适当考虑超大功率直流快充桩</w:t>
      </w:r>
      <w:r>
        <w:rPr>
          <w:rFonts w:hint="eastAsia" w:eastAsia="仿宋_GB2312"/>
          <w:sz w:val="32"/>
          <w:szCs w:val="40"/>
        </w:rPr>
        <w:t>。国省道城际充电设施布局应与沿线乡村充电设施建设相结合，既保障跨区域出行，又能满足本地区公用充电需求。</w:t>
      </w:r>
    </w:p>
    <w:p>
      <w:pPr>
        <w:pStyle w:val="26"/>
        <w:spacing w:beforeLines="50" w:line="580" w:lineRule="exact"/>
        <w:rPr>
          <w:rFonts w:eastAsia="仿宋_GB2312"/>
          <w:bCs/>
          <w:sz w:val="24"/>
          <w:szCs w:val="24"/>
        </w:rPr>
      </w:pPr>
      <w:r>
        <w:rPr>
          <w:rFonts w:hint="eastAsia" w:eastAsia="仿宋_GB2312"/>
          <w:bCs/>
          <w:sz w:val="24"/>
          <w:szCs w:val="24"/>
        </w:rPr>
        <w:t xml:space="preserve">表27  </w:t>
      </w:r>
      <w:r>
        <w:rPr>
          <w:rFonts w:eastAsia="仿宋_GB2312"/>
          <w:bCs/>
          <w:sz w:val="24"/>
          <w:szCs w:val="24"/>
        </w:rPr>
        <w:t>陕西省</w:t>
      </w:r>
      <w:r>
        <w:rPr>
          <w:rFonts w:hint="eastAsia" w:eastAsia="仿宋_GB2312"/>
          <w:bCs/>
          <w:sz w:val="24"/>
          <w:szCs w:val="24"/>
        </w:rPr>
        <w:t>“十四</w:t>
      </w:r>
      <w:r>
        <w:rPr>
          <w:rFonts w:eastAsia="仿宋_GB2312"/>
          <w:bCs/>
          <w:sz w:val="24"/>
          <w:szCs w:val="24"/>
        </w:rPr>
        <w:t>五</w:t>
      </w:r>
      <w:r>
        <w:rPr>
          <w:rFonts w:hint="eastAsia" w:eastAsia="仿宋_GB2312"/>
          <w:bCs/>
          <w:sz w:val="24"/>
          <w:szCs w:val="24"/>
        </w:rPr>
        <w:t>”城际公用</w:t>
      </w:r>
      <w:r>
        <w:rPr>
          <w:rFonts w:eastAsia="仿宋_GB2312"/>
          <w:bCs/>
          <w:sz w:val="24"/>
          <w:szCs w:val="24"/>
        </w:rPr>
        <w:t>充电设施</w:t>
      </w:r>
      <w:r>
        <w:rPr>
          <w:rFonts w:hint="eastAsia" w:eastAsia="仿宋_GB2312"/>
          <w:bCs/>
          <w:sz w:val="24"/>
          <w:szCs w:val="24"/>
        </w:rPr>
        <w:t>规划逐年新增情况</w:t>
      </w:r>
    </w:p>
    <w:tbl>
      <w:tblPr>
        <w:tblStyle w:val="1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27"/>
        <w:gridCol w:w="709"/>
        <w:gridCol w:w="708"/>
        <w:gridCol w:w="709"/>
        <w:gridCol w:w="709"/>
        <w:gridCol w:w="850"/>
        <w:gridCol w:w="16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3227" w:type="dxa"/>
            <w:shd w:val="clear" w:color="auto" w:fill="auto"/>
            <w:vAlign w:val="center"/>
          </w:tcPr>
          <w:p>
            <w:pPr>
              <w:pStyle w:val="27"/>
              <w:spacing w:line="300" w:lineRule="exact"/>
              <w:jc w:val="center"/>
              <w:rPr>
                <w:rFonts w:ascii="仿宋" w:hAnsi="仿宋" w:eastAsia="仿宋"/>
              </w:rPr>
            </w:pPr>
            <w:r>
              <w:rPr>
                <w:rFonts w:hint="eastAsia" w:ascii="仿宋" w:hAnsi="仿宋" w:eastAsia="仿宋"/>
              </w:rPr>
              <w:t>类型</w:t>
            </w:r>
          </w:p>
        </w:tc>
        <w:tc>
          <w:tcPr>
            <w:tcW w:w="709" w:type="dxa"/>
            <w:shd w:val="clear" w:color="auto" w:fill="auto"/>
            <w:vAlign w:val="center"/>
          </w:tcPr>
          <w:p>
            <w:pPr>
              <w:pStyle w:val="27"/>
              <w:spacing w:line="300" w:lineRule="exact"/>
              <w:jc w:val="center"/>
              <w:rPr>
                <w:sz w:val="18"/>
              </w:rPr>
            </w:pPr>
            <w:r>
              <w:t>2021</w:t>
            </w:r>
          </w:p>
        </w:tc>
        <w:tc>
          <w:tcPr>
            <w:tcW w:w="708" w:type="dxa"/>
            <w:shd w:val="clear" w:color="auto" w:fill="auto"/>
            <w:vAlign w:val="center"/>
          </w:tcPr>
          <w:p>
            <w:pPr>
              <w:pStyle w:val="27"/>
              <w:spacing w:line="300" w:lineRule="exact"/>
              <w:jc w:val="center"/>
              <w:rPr>
                <w:sz w:val="18"/>
              </w:rPr>
            </w:pPr>
            <w:r>
              <w:t>2022</w:t>
            </w:r>
          </w:p>
        </w:tc>
        <w:tc>
          <w:tcPr>
            <w:tcW w:w="709" w:type="dxa"/>
            <w:shd w:val="clear" w:color="auto" w:fill="auto"/>
            <w:vAlign w:val="center"/>
          </w:tcPr>
          <w:p>
            <w:pPr>
              <w:pStyle w:val="27"/>
              <w:spacing w:line="300" w:lineRule="exact"/>
              <w:jc w:val="center"/>
              <w:rPr>
                <w:sz w:val="18"/>
              </w:rPr>
            </w:pPr>
            <w:r>
              <w:t>2023</w:t>
            </w:r>
          </w:p>
        </w:tc>
        <w:tc>
          <w:tcPr>
            <w:tcW w:w="709" w:type="dxa"/>
            <w:shd w:val="clear" w:color="auto" w:fill="auto"/>
            <w:vAlign w:val="center"/>
          </w:tcPr>
          <w:p>
            <w:pPr>
              <w:pStyle w:val="27"/>
              <w:spacing w:line="300" w:lineRule="exact"/>
              <w:jc w:val="center"/>
              <w:rPr>
                <w:sz w:val="18"/>
              </w:rPr>
            </w:pPr>
            <w:r>
              <w:t>2024</w:t>
            </w:r>
          </w:p>
        </w:tc>
        <w:tc>
          <w:tcPr>
            <w:tcW w:w="850" w:type="dxa"/>
            <w:shd w:val="clear" w:color="auto" w:fill="auto"/>
            <w:vAlign w:val="center"/>
          </w:tcPr>
          <w:p>
            <w:pPr>
              <w:pStyle w:val="27"/>
              <w:spacing w:line="300" w:lineRule="exact"/>
              <w:jc w:val="center"/>
              <w:rPr>
                <w:sz w:val="18"/>
              </w:rPr>
            </w:pPr>
            <w:r>
              <w:t>2025</w:t>
            </w:r>
          </w:p>
        </w:tc>
        <w:tc>
          <w:tcPr>
            <w:tcW w:w="1610" w:type="dxa"/>
            <w:shd w:val="clear" w:color="auto" w:fill="auto"/>
            <w:vAlign w:val="center"/>
          </w:tcPr>
          <w:p>
            <w:pPr>
              <w:pStyle w:val="27"/>
              <w:spacing w:line="300" w:lineRule="exact"/>
              <w:jc w:val="center"/>
              <w:rPr>
                <w:rFonts w:ascii="仿宋" w:hAnsi="仿宋" w:eastAsia="仿宋"/>
              </w:rPr>
            </w:pPr>
            <w:r>
              <w:rPr>
                <w:rFonts w:hint="eastAsia" w:ascii="仿宋" w:hAnsi="仿宋" w:eastAsia="仿宋"/>
              </w:rPr>
              <w:t>“十四五”新增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3227" w:type="dxa"/>
            <w:shd w:val="clear" w:color="auto" w:fill="auto"/>
            <w:vAlign w:val="center"/>
          </w:tcPr>
          <w:p>
            <w:pPr>
              <w:pStyle w:val="27"/>
              <w:spacing w:line="300" w:lineRule="exact"/>
              <w:jc w:val="center"/>
              <w:rPr>
                <w:rFonts w:ascii="仿宋" w:hAnsi="仿宋" w:eastAsia="仿宋"/>
              </w:rPr>
            </w:pPr>
            <w:r>
              <w:rPr>
                <w:rFonts w:hint="eastAsia" w:ascii="仿宋" w:hAnsi="仿宋" w:eastAsia="仿宋"/>
              </w:rPr>
              <w:t>高速公路公共充电站（座）</w:t>
            </w:r>
          </w:p>
        </w:tc>
        <w:tc>
          <w:tcPr>
            <w:tcW w:w="709" w:type="dxa"/>
            <w:shd w:val="clear" w:color="auto" w:fill="auto"/>
            <w:vAlign w:val="center"/>
          </w:tcPr>
          <w:p>
            <w:pPr>
              <w:pStyle w:val="27"/>
              <w:spacing w:line="300" w:lineRule="exact"/>
              <w:jc w:val="center"/>
            </w:pPr>
            <w:r>
              <w:rPr>
                <w:rFonts w:hint="eastAsia"/>
              </w:rPr>
              <w:t>2</w:t>
            </w:r>
          </w:p>
        </w:tc>
        <w:tc>
          <w:tcPr>
            <w:tcW w:w="708" w:type="dxa"/>
            <w:shd w:val="clear" w:color="auto" w:fill="auto"/>
            <w:vAlign w:val="center"/>
          </w:tcPr>
          <w:p>
            <w:pPr>
              <w:pStyle w:val="27"/>
              <w:spacing w:line="300" w:lineRule="exact"/>
              <w:jc w:val="center"/>
            </w:pPr>
            <w:r>
              <w:rPr>
                <w:rFonts w:hint="eastAsia"/>
              </w:rPr>
              <w:t>2</w:t>
            </w:r>
          </w:p>
        </w:tc>
        <w:tc>
          <w:tcPr>
            <w:tcW w:w="709" w:type="dxa"/>
            <w:shd w:val="clear" w:color="auto" w:fill="auto"/>
            <w:vAlign w:val="center"/>
          </w:tcPr>
          <w:p>
            <w:pPr>
              <w:pStyle w:val="27"/>
              <w:spacing w:line="300" w:lineRule="exact"/>
              <w:jc w:val="center"/>
            </w:pPr>
            <w:r>
              <w:rPr>
                <w:rFonts w:hint="eastAsia"/>
              </w:rPr>
              <w:t>2</w:t>
            </w:r>
          </w:p>
        </w:tc>
        <w:tc>
          <w:tcPr>
            <w:tcW w:w="709" w:type="dxa"/>
            <w:shd w:val="clear" w:color="auto" w:fill="auto"/>
            <w:vAlign w:val="center"/>
          </w:tcPr>
          <w:p>
            <w:pPr>
              <w:pStyle w:val="27"/>
              <w:spacing w:line="300" w:lineRule="exact"/>
              <w:jc w:val="center"/>
            </w:pPr>
            <w:r>
              <w:rPr>
                <w:rFonts w:hint="eastAsia"/>
              </w:rPr>
              <w:t>2</w:t>
            </w:r>
          </w:p>
        </w:tc>
        <w:tc>
          <w:tcPr>
            <w:tcW w:w="850" w:type="dxa"/>
            <w:shd w:val="clear" w:color="auto" w:fill="auto"/>
            <w:vAlign w:val="center"/>
          </w:tcPr>
          <w:p>
            <w:pPr>
              <w:pStyle w:val="27"/>
              <w:spacing w:line="300" w:lineRule="exact"/>
              <w:jc w:val="center"/>
            </w:pPr>
            <w:r>
              <w:rPr>
                <w:rFonts w:hint="eastAsia"/>
              </w:rPr>
              <w:t>4</w:t>
            </w:r>
          </w:p>
        </w:tc>
        <w:tc>
          <w:tcPr>
            <w:tcW w:w="1610" w:type="dxa"/>
            <w:shd w:val="clear" w:color="auto" w:fill="auto"/>
            <w:vAlign w:val="center"/>
          </w:tcPr>
          <w:p>
            <w:pPr>
              <w:pStyle w:val="27"/>
              <w:spacing w:line="300" w:lineRule="exact"/>
              <w:jc w:val="center"/>
            </w:pPr>
            <w:r>
              <w:rPr>
                <w:rFonts w:hint="eastAsia"/>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3227" w:type="dxa"/>
            <w:shd w:val="clear" w:color="auto" w:fill="auto"/>
            <w:vAlign w:val="center"/>
          </w:tcPr>
          <w:p>
            <w:pPr>
              <w:pStyle w:val="27"/>
              <w:spacing w:line="300" w:lineRule="exact"/>
              <w:jc w:val="center"/>
              <w:rPr>
                <w:rFonts w:ascii="仿宋" w:hAnsi="仿宋" w:eastAsia="仿宋"/>
              </w:rPr>
            </w:pPr>
            <w:r>
              <w:rPr>
                <w:rFonts w:hint="eastAsia" w:ascii="仿宋" w:hAnsi="仿宋" w:eastAsia="仿宋"/>
              </w:rPr>
              <w:t>站中充电桩（</w:t>
            </w:r>
            <w:r>
              <w:rPr>
                <w:rFonts w:ascii="仿宋" w:hAnsi="仿宋" w:eastAsia="仿宋"/>
              </w:rPr>
              <w:t>60kW</w:t>
            </w:r>
            <w:r>
              <w:rPr>
                <w:rFonts w:hint="eastAsia" w:ascii="仿宋" w:hAnsi="仿宋" w:eastAsia="仿宋"/>
              </w:rPr>
              <w:t>）总数（根）</w:t>
            </w:r>
          </w:p>
        </w:tc>
        <w:tc>
          <w:tcPr>
            <w:tcW w:w="709" w:type="dxa"/>
            <w:shd w:val="clear" w:color="auto" w:fill="auto"/>
            <w:vAlign w:val="center"/>
          </w:tcPr>
          <w:p>
            <w:pPr>
              <w:pStyle w:val="27"/>
              <w:spacing w:line="300" w:lineRule="exact"/>
              <w:jc w:val="center"/>
            </w:pPr>
            <w:r>
              <w:rPr>
                <w:rFonts w:hint="eastAsia"/>
              </w:rPr>
              <w:t>20</w:t>
            </w:r>
          </w:p>
        </w:tc>
        <w:tc>
          <w:tcPr>
            <w:tcW w:w="708" w:type="dxa"/>
            <w:shd w:val="clear" w:color="auto" w:fill="auto"/>
            <w:vAlign w:val="center"/>
          </w:tcPr>
          <w:p>
            <w:pPr>
              <w:pStyle w:val="27"/>
              <w:spacing w:line="300" w:lineRule="exact"/>
              <w:jc w:val="center"/>
            </w:pPr>
            <w:r>
              <w:rPr>
                <w:rFonts w:hint="eastAsia"/>
              </w:rPr>
              <w:t>20</w:t>
            </w:r>
          </w:p>
        </w:tc>
        <w:tc>
          <w:tcPr>
            <w:tcW w:w="709" w:type="dxa"/>
            <w:shd w:val="clear" w:color="auto" w:fill="auto"/>
            <w:vAlign w:val="center"/>
          </w:tcPr>
          <w:p>
            <w:pPr>
              <w:pStyle w:val="27"/>
              <w:spacing w:line="300" w:lineRule="exact"/>
              <w:jc w:val="center"/>
              <w:rPr>
                <w:sz w:val="18"/>
              </w:rPr>
            </w:pPr>
            <w:r>
              <w:rPr>
                <w:rFonts w:hint="eastAsia"/>
              </w:rPr>
              <w:t>20</w:t>
            </w:r>
          </w:p>
        </w:tc>
        <w:tc>
          <w:tcPr>
            <w:tcW w:w="709" w:type="dxa"/>
            <w:shd w:val="clear" w:color="auto" w:fill="auto"/>
            <w:vAlign w:val="center"/>
          </w:tcPr>
          <w:p>
            <w:pPr>
              <w:pStyle w:val="27"/>
              <w:spacing w:line="300" w:lineRule="exact"/>
              <w:jc w:val="center"/>
              <w:rPr>
                <w:sz w:val="18"/>
              </w:rPr>
            </w:pPr>
            <w:r>
              <w:rPr>
                <w:rFonts w:hint="eastAsia"/>
              </w:rPr>
              <w:t>20</w:t>
            </w:r>
          </w:p>
        </w:tc>
        <w:tc>
          <w:tcPr>
            <w:tcW w:w="850" w:type="dxa"/>
            <w:shd w:val="clear" w:color="auto" w:fill="auto"/>
            <w:vAlign w:val="center"/>
          </w:tcPr>
          <w:p>
            <w:pPr>
              <w:pStyle w:val="27"/>
              <w:spacing w:line="300" w:lineRule="exact"/>
              <w:jc w:val="center"/>
              <w:rPr>
                <w:sz w:val="18"/>
              </w:rPr>
            </w:pPr>
            <w:r>
              <w:rPr>
                <w:rFonts w:hint="eastAsia"/>
              </w:rPr>
              <w:t>40</w:t>
            </w:r>
          </w:p>
        </w:tc>
        <w:tc>
          <w:tcPr>
            <w:tcW w:w="1610" w:type="dxa"/>
            <w:shd w:val="clear" w:color="auto" w:fill="auto"/>
            <w:vAlign w:val="center"/>
          </w:tcPr>
          <w:p>
            <w:pPr>
              <w:pStyle w:val="27"/>
              <w:spacing w:line="300" w:lineRule="exact"/>
              <w:jc w:val="center"/>
              <w:rPr>
                <w:sz w:val="18"/>
              </w:rPr>
            </w:pPr>
            <w:r>
              <w:rPr>
                <w:rFonts w:hint="eastAsia"/>
              </w:rPr>
              <w:t>120</w:t>
            </w:r>
          </w:p>
        </w:tc>
      </w:tr>
    </w:tbl>
    <w:p>
      <w:pPr>
        <w:pStyle w:val="5"/>
        <w:spacing w:line="580" w:lineRule="exact"/>
        <w:ind w:firstLine="643"/>
      </w:pPr>
      <w:bookmarkStart w:id="46" w:name="_Toc32531"/>
      <w:bookmarkStart w:id="47" w:name="_Toc47622935"/>
      <w:r>
        <w:rPr>
          <w:rFonts w:hint="eastAsia"/>
        </w:rPr>
        <w:t>4.乡村公用充电设施</w:t>
      </w:r>
      <w:bookmarkEnd w:id="46"/>
    </w:p>
    <w:p>
      <w:pPr>
        <w:adjustRightInd w:val="0"/>
        <w:snapToGrid w:val="0"/>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为满足省内乡村电动汽车充电需求，按照从西安到关中、从关中到全省、从乡镇到农村的原则，推进公用充电设施下沉至乡村区域，力争“十四五”末全省每个乡镇建设1座公共充电站（每座充电站含</w:t>
      </w:r>
      <w:r>
        <w:rPr>
          <w:rFonts w:ascii="Times New Roman" w:hAnsi="Times New Roman" w:eastAsia="仿宋_GB2312" w:cs="Times New Roman"/>
          <w:sz w:val="32"/>
          <w:szCs w:val="32"/>
        </w:rPr>
        <w:t>10</w:t>
      </w:r>
      <w:r>
        <w:rPr>
          <w:rFonts w:hint="eastAsia" w:ascii="Times New Roman" w:hAnsi="Times New Roman" w:eastAsia="仿宋_GB2312" w:cs="Times New Roman"/>
          <w:sz w:val="32"/>
          <w:szCs w:val="32"/>
        </w:rPr>
        <w:t>根</w:t>
      </w:r>
      <w:r>
        <w:rPr>
          <w:rFonts w:ascii="Times New Roman" w:hAnsi="Times New Roman" w:eastAsia="仿宋_GB2312" w:cs="Times New Roman"/>
          <w:sz w:val="32"/>
          <w:szCs w:val="32"/>
        </w:rPr>
        <w:t>60kW</w:t>
      </w:r>
      <w:r>
        <w:rPr>
          <w:rFonts w:hint="eastAsia" w:ascii="Times New Roman" w:hAnsi="Times New Roman" w:eastAsia="仿宋_GB2312" w:cs="Times New Roman"/>
          <w:sz w:val="32"/>
          <w:szCs w:val="32"/>
        </w:rPr>
        <w:t>直流充电桩），关中区域百分之十五的村组建设公共充电桩（</w:t>
      </w:r>
      <w:r>
        <w:rPr>
          <w:rFonts w:ascii="Times New Roman" w:hAnsi="Times New Roman" w:eastAsia="仿宋_GB2312" w:cs="Times New Roman"/>
          <w:sz w:val="32"/>
          <w:szCs w:val="32"/>
        </w:rPr>
        <w:t>每</w:t>
      </w:r>
      <w:r>
        <w:rPr>
          <w:rFonts w:hint="eastAsia" w:ascii="Times New Roman" w:hAnsi="Times New Roman" w:eastAsia="仿宋_GB2312" w:cs="Times New Roman"/>
          <w:sz w:val="32"/>
          <w:szCs w:val="32"/>
        </w:rPr>
        <w:t>村建设2根</w:t>
      </w:r>
      <w:r>
        <w:rPr>
          <w:rFonts w:ascii="Times New Roman" w:hAnsi="Times New Roman" w:eastAsia="仿宋_GB2312" w:cs="Times New Roman"/>
          <w:sz w:val="32"/>
          <w:szCs w:val="32"/>
        </w:rPr>
        <w:t>60kW直流充电桩</w:t>
      </w:r>
      <w:r>
        <w:rPr>
          <w:rFonts w:hint="eastAsia" w:ascii="Times New Roman" w:hAnsi="Times New Roman" w:eastAsia="仿宋_GB2312" w:cs="Times New Roman"/>
          <w:sz w:val="32"/>
          <w:szCs w:val="32"/>
        </w:rPr>
        <w:t>），建成后关中乡村区域公共充电设施平均服务半径小于</w:t>
      </w: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千米，陕南、陕北乡村区域公共充电设施平均服务半径小于8千米，乡村充电设施建设应结合场地情况尽量沿周边国省道等公路布置，在满足区域内电动汽车充电需求的同时为跨区域出行提供保障。</w:t>
      </w:r>
    </w:p>
    <w:p>
      <w:pPr>
        <w:pStyle w:val="26"/>
        <w:spacing w:beforeLines="50" w:line="580" w:lineRule="exact"/>
        <w:rPr>
          <w:rFonts w:eastAsia="仿宋_GB2312"/>
          <w:bCs/>
          <w:sz w:val="24"/>
          <w:szCs w:val="24"/>
        </w:rPr>
      </w:pPr>
      <w:bookmarkStart w:id="48" w:name="_Toc6246"/>
      <w:r>
        <w:rPr>
          <w:rFonts w:hint="eastAsia" w:eastAsia="仿宋_GB2312"/>
          <w:bCs/>
          <w:sz w:val="24"/>
          <w:szCs w:val="24"/>
        </w:rPr>
        <w:t xml:space="preserve">表28  </w:t>
      </w:r>
      <w:r>
        <w:rPr>
          <w:rFonts w:eastAsia="仿宋_GB2312"/>
          <w:bCs/>
          <w:sz w:val="24"/>
          <w:szCs w:val="24"/>
        </w:rPr>
        <w:t>陕西省</w:t>
      </w:r>
      <w:r>
        <w:rPr>
          <w:rFonts w:hint="eastAsia" w:eastAsia="仿宋_GB2312"/>
          <w:bCs/>
          <w:sz w:val="24"/>
          <w:szCs w:val="24"/>
        </w:rPr>
        <w:t>“十四</w:t>
      </w:r>
      <w:r>
        <w:rPr>
          <w:rFonts w:eastAsia="仿宋_GB2312"/>
          <w:bCs/>
          <w:sz w:val="24"/>
          <w:szCs w:val="24"/>
        </w:rPr>
        <w:t>五</w:t>
      </w:r>
      <w:r>
        <w:rPr>
          <w:rFonts w:hint="eastAsia" w:eastAsia="仿宋_GB2312"/>
          <w:bCs/>
          <w:sz w:val="24"/>
          <w:szCs w:val="24"/>
        </w:rPr>
        <w:t>”乡村公用</w:t>
      </w:r>
      <w:r>
        <w:rPr>
          <w:rFonts w:eastAsia="仿宋_GB2312"/>
          <w:bCs/>
          <w:sz w:val="24"/>
          <w:szCs w:val="24"/>
        </w:rPr>
        <w:t>充电设施</w:t>
      </w:r>
      <w:r>
        <w:rPr>
          <w:rFonts w:hint="eastAsia" w:eastAsia="仿宋_GB2312"/>
          <w:bCs/>
          <w:sz w:val="24"/>
          <w:szCs w:val="24"/>
        </w:rPr>
        <w:t>规划逐年新增情况</w:t>
      </w:r>
    </w:p>
    <w:tbl>
      <w:tblPr>
        <w:tblStyle w:val="1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27"/>
        <w:gridCol w:w="709"/>
        <w:gridCol w:w="708"/>
        <w:gridCol w:w="709"/>
        <w:gridCol w:w="709"/>
        <w:gridCol w:w="850"/>
        <w:gridCol w:w="16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3227" w:type="dxa"/>
            <w:shd w:val="clear" w:color="auto" w:fill="auto"/>
            <w:vAlign w:val="center"/>
          </w:tcPr>
          <w:p>
            <w:pPr>
              <w:pStyle w:val="27"/>
              <w:spacing w:line="300" w:lineRule="exact"/>
              <w:jc w:val="center"/>
              <w:rPr>
                <w:rFonts w:ascii="仿宋" w:hAnsi="仿宋" w:eastAsia="仿宋"/>
              </w:rPr>
            </w:pPr>
            <w:r>
              <w:rPr>
                <w:rFonts w:hint="eastAsia" w:ascii="仿宋" w:hAnsi="仿宋" w:eastAsia="仿宋"/>
              </w:rPr>
              <w:t>类型</w:t>
            </w:r>
          </w:p>
        </w:tc>
        <w:tc>
          <w:tcPr>
            <w:tcW w:w="709" w:type="dxa"/>
            <w:shd w:val="clear" w:color="auto" w:fill="auto"/>
            <w:vAlign w:val="center"/>
          </w:tcPr>
          <w:p>
            <w:pPr>
              <w:pStyle w:val="27"/>
              <w:spacing w:line="300" w:lineRule="exact"/>
              <w:jc w:val="center"/>
              <w:rPr>
                <w:sz w:val="18"/>
              </w:rPr>
            </w:pPr>
            <w:r>
              <w:t>2021</w:t>
            </w:r>
          </w:p>
        </w:tc>
        <w:tc>
          <w:tcPr>
            <w:tcW w:w="708" w:type="dxa"/>
            <w:shd w:val="clear" w:color="auto" w:fill="auto"/>
            <w:vAlign w:val="center"/>
          </w:tcPr>
          <w:p>
            <w:pPr>
              <w:pStyle w:val="27"/>
              <w:spacing w:line="300" w:lineRule="exact"/>
              <w:jc w:val="center"/>
              <w:rPr>
                <w:sz w:val="18"/>
              </w:rPr>
            </w:pPr>
            <w:r>
              <w:t>2022</w:t>
            </w:r>
          </w:p>
        </w:tc>
        <w:tc>
          <w:tcPr>
            <w:tcW w:w="709" w:type="dxa"/>
            <w:shd w:val="clear" w:color="auto" w:fill="auto"/>
            <w:vAlign w:val="center"/>
          </w:tcPr>
          <w:p>
            <w:pPr>
              <w:pStyle w:val="27"/>
              <w:spacing w:line="300" w:lineRule="exact"/>
              <w:jc w:val="center"/>
              <w:rPr>
                <w:sz w:val="18"/>
              </w:rPr>
            </w:pPr>
            <w:r>
              <w:t>2023</w:t>
            </w:r>
          </w:p>
        </w:tc>
        <w:tc>
          <w:tcPr>
            <w:tcW w:w="709" w:type="dxa"/>
            <w:shd w:val="clear" w:color="auto" w:fill="auto"/>
            <w:vAlign w:val="center"/>
          </w:tcPr>
          <w:p>
            <w:pPr>
              <w:pStyle w:val="27"/>
              <w:spacing w:line="300" w:lineRule="exact"/>
              <w:jc w:val="center"/>
              <w:rPr>
                <w:sz w:val="18"/>
              </w:rPr>
            </w:pPr>
            <w:r>
              <w:t>2024</w:t>
            </w:r>
          </w:p>
        </w:tc>
        <w:tc>
          <w:tcPr>
            <w:tcW w:w="850" w:type="dxa"/>
            <w:shd w:val="clear" w:color="auto" w:fill="auto"/>
            <w:vAlign w:val="center"/>
          </w:tcPr>
          <w:p>
            <w:pPr>
              <w:pStyle w:val="27"/>
              <w:spacing w:line="300" w:lineRule="exact"/>
              <w:jc w:val="center"/>
              <w:rPr>
                <w:sz w:val="18"/>
              </w:rPr>
            </w:pPr>
            <w:r>
              <w:t>2025</w:t>
            </w:r>
          </w:p>
        </w:tc>
        <w:tc>
          <w:tcPr>
            <w:tcW w:w="1610" w:type="dxa"/>
            <w:shd w:val="clear" w:color="auto" w:fill="auto"/>
            <w:vAlign w:val="center"/>
          </w:tcPr>
          <w:p>
            <w:pPr>
              <w:pStyle w:val="27"/>
              <w:spacing w:line="300" w:lineRule="exact"/>
              <w:jc w:val="center"/>
              <w:rPr>
                <w:rFonts w:ascii="仿宋" w:hAnsi="仿宋" w:eastAsia="仿宋"/>
              </w:rPr>
            </w:pPr>
            <w:r>
              <w:rPr>
                <w:rFonts w:hint="eastAsia" w:ascii="仿宋" w:hAnsi="仿宋" w:eastAsia="仿宋"/>
              </w:rPr>
              <w:t>“十四五”新增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3227" w:type="dxa"/>
            <w:shd w:val="clear" w:color="auto" w:fill="auto"/>
            <w:vAlign w:val="center"/>
          </w:tcPr>
          <w:p>
            <w:pPr>
              <w:pStyle w:val="27"/>
              <w:spacing w:line="300" w:lineRule="exact"/>
              <w:jc w:val="center"/>
              <w:rPr>
                <w:rFonts w:ascii="仿宋" w:hAnsi="仿宋" w:eastAsia="仿宋"/>
              </w:rPr>
            </w:pPr>
            <w:r>
              <w:rPr>
                <w:rFonts w:hint="eastAsia" w:ascii="仿宋" w:hAnsi="仿宋" w:eastAsia="仿宋"/>
              </w:rPr>
              <w:t>乡镇公用充电站（座）</w:t>
            </w:r>
          </w:p>
        </w:tc>
        <w:tc>
          <w:tcPr>
            <w:tcW w:w="709" w:type="dxa"/>
            <w:shd w:val="clear" w:color="auto" w:fill="auto"/>
            <w:vAlign w:val="center"/>
          </w:tcPr>
          <w:p>
            <w:pPr>
              <w:pStyle w:val="27"/>
              <w:spacing w:line="300" w:lineRule="exact"/>
              <w:jc w:val="center"/>
            </w:pPr>
            <w:r>
              <w:t>200</w:t>
            </w:r>
          </w:p>
        </w:tc>
        <w:tc>
          <w:tcPr>
            <w:tcW w:w="708" w:type="dxa"/>
            <w:shd w:val="clear" w:color="auto" w:fill="auto"/>
          </w:tcPr>
          <w:p>
            <w:pPr>
              <w:pStyle w:val="27"/>
              <w:spacing w:line="300" w:lineRule="exact"/>
              <w:jc w:val="center"/>
            </w:pPr>
            <w:r>
              <w:t>200</w:t>
            </w:r>
          </w:p>
        </w:tc>
        <w:tc>
          <w:tcPr>
            <w:tcW w:w="709" w:type="dxa"/>
            <w:shd w:val="clear" w:color="auto" w:fill="auto"/>
          </w:tcPr>
          <w:p>
            <w:pPr>
              <w:pStyle w:val="27"/>
              <w:spacing w:line="300" w:lineRule="exact"/>
              <w:jc w:val="center"/>
            </w:pPr>
            <w:r>
              <w:t>200</w:t>
            </w:r>
          </w:p>
        </w:tc>
        <w:tc>
          <w:tcPr>
            <w:tcW w:w="709" w:type="dxa"/>
            <w:shd w:val="clear" w:color="auto" w:fill="auto"/>
          </w:tcPr>
          <w:p>
            <w:pPr>
              <w:pStyle w:val="27"/>
              <w:spacing w:line="300" w:lineRule="exact"/>
              <w:jc w:val="center"/>
            </w:pPr>
            <w:r>
              <w:t>200</w:t>
            </w:r>
          </w:p>
        </w:tc>
        <w:tc>
          <w:tcPr>
            <w:tcW w:w="850" w:type="dxa"/>
            <w:shd w:val="clear" w:color="auto" w:fill="auto"/>
          </w:tcPr>
          <w:p>
            <w:pPr>
              <w:pStyle w:val="27"/>
              <w:spacing w:line="300" w:lineRule="exact"/>
              <w:jc w:val="center"/>
            </w:pPr>
            <w:r>
              <w:t>196</w:t>
            </w:r>
          </w:p>
        </w:tc>
        <w:tc>
          <w:tcPr>
            <w:tcW w:w="1610" w:type="dxa"/>
            <w:shd w:val="clear" w:color="auto" w:fill="auto"/>
            <w:vAlign w:val="center"/>
          </w:tcPr>
          <w:p>
            <w:pPr>
              <w:pStyle w:val="27"/>
              <w:spacing w:line="300" w:lineRule="exact"/>
              <w:jc w:val="center"/>
            </w:pPr>
            <w:r>
              <w:t>996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3227" w:type="dxa"/>
            <w:shd w:val="clear" w:color="auto" w:fill="auto"/>
            <w:vAlign w:val="center"/>
          </w:tcPr>
          <w:p>
            <w:pPr>
              <w:pStyle w:val="27"/>
              <w:spacing w:line="300" w:lineRule="exact"/>
              <w:jc w:val="center"/>
              <w:rPr>
                <w:rFonts w:ascii="仿宋" w:hAnsi="仿宋" w:eastAsia="仿宋"/>
              </w:rPr>
            </w:pPr>
            <w:r>
              <w:rPr>
                <w:rFonts w:hint="eastAsia" w:ascii="仿宋" w:hAnsi="仿宋" w:eastAsia="仿宋"/>
              </w:rPr>
              <w:t>村组公用充电桩（根）</w:t>
            </w:r>
          </w:p>
        </w:tc>
        <w:tc>
          <w:tcPr>
            <w:tcW w:w="709" w:type="dxa"/>
            <w:shd w:val="clear" w:color="auto" w:fill="auto"/>
            <w:vAlign w:val="center"/>
          </w:tcPr>
          <w:p>
            <w:pPr>
              <w:pStyle w:val="27"/>
              <w:spacing w:line="300" w:lineRule="exact"/>
              <w:jc w:val="center"/>
            </w:pPr>
            <w:r>
              <w:t>440</w:t>
            </w:r>
          </w:p>
        </w:tc>
        <w:tc>
          <w:tcPr>
            <w:tcW w:w="708" w:type="dxa"/>
            <w:shd w:val="clear" w:color="auto" w:fill="auto"/>
          </w:tcPr>
          <w:p>
            <w:pPr>
              <w:pStyle w:val="27"/>
              <w:spacing w:line="300" w:lineRule="exact"/>
              <w:jc w:val="center"/>
            </w:pPr>
            <w:r>
              <w:t>440</w:t>
            </w:r>
          </w:p>
        </w:tc>
        <w:tc>
          <w:tcPr>
            <w:tcW w:w="709" w:type="dxa"/>
            <w:shd w:val="clear" w:color="auto" w:fill="auto"/>
          </w:tcPr>
          <w:p>
            <w:pPr>
              <w:pStyle w:val="27"/>
              <w:spacing w:line="300" w:lineRule="exact"/>
              <w:jc w:val="center"/>
            </w:pPr>
            <w:r>
              <w:t>440</w:t>
            </w:r>
          </w:p>
        </w:tc>
        <w:tc>
          <w:tcPr>
            <w:tcW w:w="709" w:type="dxa"/>
            <w:shd w:val="clear" w:color="auto" w:fill="auto"/>
          </w:tcPr>
          <w:p>
            <w:pPr>
              <w:pStyle w:val="27"/>
              <w:spacing w:line="300" w:lineRule="exact"/>
              <w:jc w:val="center"/>
            </w:pPr>
            <w:r>
              <w:t>440</w:t>
            </w:r>
          </w:p>
        </w:tc>
        <w:tc>
          <w:tcPr>
            <w:tcW w:w="850" w:type="dxa"/>
            <w:shd w:val="clear" w:color="auto" w:fill="auto"/>
          </w:tcPr>
          <w:p>
            <w:pPr>
              <w:pStyle w:val="27"/>
              <w:spacing w:line="300" w:lineRule="exact"/>
              <w:jc w:val="center"/>
            </w:pPr>
            <w:r>
              <w:t>440</w:t>
            </w:r>
          </w:p>
        </w:tc>
        <w:tc>
          <w:tcPr>
            <w:tcW w:w="1610" w:type="dxa"/>
            <w:shd w:val="clear" w:color="auto" w:fill="auto"/>
            <w:vAlign w:val="center"/>
          </w:tcPr>
          <w:p>
            <w:pPr>
              <w:pStyle w:val="27"/>
              <w:spacing w:line="300" w:lineRule="exact"/>
              <w:jc w:val="center"/>
            </w:pPr>
            <w:r>
              <w:t>2200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3227" w:type="dxa"/>
            <w:shd w:val="clear" w:color="auto" w:fill="auto"/>
            <w:vAlign w:val="center"/>
          </w:tcPr>
          <w:p>
            <w:pPr>
              <w:pStyle w:val="27"/>
              <w:spacing w:line="300" w:lineRule="exact"/>
              <w:jc w:val="center"/>
              <w:rPr>
                <w:rFonts w:ascii="仿宋" w:hAnsi="仿宋" w:eastAsia="仿宋"/>
                <w:highlight w:val="yellow"/>
              </w:rPr>
            </w:pPr>
            <w:r>
              <w:rPr>
                <w:rFonts w:hint="eastAsia" w:ascii="仿宋" w:hAnsi="仿宋" w:eastAsia="仿宋"/>
              </w:rPr>
              <w:t>以上所含充电桩（</w:t>
            </w:r>
            <w:r>
              <w:rPr>
                <w:rFonts w:ascii="仿宋" w:hAnsi="仿宋" w:eastAsia="仿宋"/>
              </w:rPr>
              <w:t>60kW</w:t>
            </w:r>
            <w:r>
              <w:rPr>
                <w:rFonts w:hint="eastAsia" w:ascii="仿宋" w:hAnsi="仿宋" w:eastAsia="仿宋"/>
              </w:rPr>
              <w:t>）总数（根）</w:t>
            </w:r>
          </w:p>
        </w:tc>
        <w:tc>
          <w:tcPr>
            <w:tcW w:w="709" w:type="dxa"/>
            <w:shd w:val="clear" w:color="auto" w:fill="auto"/>
            <w:vAlign w:val="center"/>
          </w:tcPr>
          <w:p>
            <w:pPr>
              <w:pStyle w:val="27"/>
              <w:spacing w:line="300" w:lineRule="exact"/>
              <w:jc w:val="center"/>
              <w:rPr>
                <w:highlight w:val="yellow"/>
              </w:rPr>
            </w:pPr>
            <w:r>
              <w:t>2440</w:t>
            </w:r>
          </w:p>
        </w:tc>
        <w:tc>
          <w:tcPr>
            <w:tcW w:w="708" w:type="dxa"/>
            <w:shd w:val="clear" w:color="auto" w:fill="auto"/>
            <w:vAlign w:val="center"/>
          </w:tcPr>
          <w:p>
            <w:pPr>
              <w:pStyle w:val="27"/>
              <w:spacing w:line="300" w:lineRule="exact"/>
              <w:jc w:val="center"/>
              <w:rPr>
                <w:highlight w:val="yellow"/>
              </w:rPr>
            </w:pPr>
            <w:r>
              <w:t>2440</w:t>
            </w:r>
          </w:p>
        </w:tc>
        <w:tc>
          <w:tcPr>
            <w:tcW w:w="709" w:type="dxa"/>
            <w:shd w:val="clear" w:color="auto" w:fill="auto"/>
            <w:vAlign w:val="center"/>
          </w:tcPr>
          <w:p>
            <w:pPr>
              <w:pStyle w:val="27"/>
              <w:spacing w:line="300" w:lineRule="exact"/>
              <w:jc w:val="center"/>
              <w:rPr>
                <w:highlight w:val="yellow"/>
              </w:rPr>
            </w:pPr>
            <w:r>
              <w:t>2440</w:t>
            </w:r>
          </w:p>
        </w:tc>
        <w:tc>
          <w:tcPr>
            <w:tcW w:w="709" w:type="dxa"/>
            <w:shd w:val="clear" w:color="auto" w:fill="auto"/>
            <w:vAlign w:val="center"/>
          </w:tcPr>
          <w:p>
            <w:pPr>
              <w:pStyle w:val="27"/>
              <w:spacing w:line="300" w:lineRule="exact"/>
              <w:jc w:val="center"/>
              <w:rPr>
                <w:highlight w:val="yellow"/>
              </w:rPr>
            </w:pPr>
            <w:r>
              <w:t>2440</w:t>
            </w:r>
          </w:p>
        </w:tc>
        <w:tc>
          <w:tcPr>
            <w:tcW w:w="850" w:type="dxa"/>
            <w:shd w:val="clear" w:color="auto" w:fill="auto"/>
            <w:vAlign w:val="center"/>
          </w:tcPr>
          <w:p>
            <w:pPr>
              <w:pStyle w:val="27"/>
              <w:spacing w:line="300" w:lineRule="exact"/>
              <w:jc w:val="center"/>
              <w:rPr>
                <w:highlight w:val="yellow"/>
              </w:rPr>
            </w:pPr>
            <w:r>
              <w:t>2400</w:t>
            </w:r>
          </w:p>
        </w:tc>
        <w:tc>
          <w:tcPr>
            <w:tcW w:w="1610" w:type="dxa"/>
            <w:shd w:val="clear" w:color="auto" w:fill="auto"/>
            <w:vAlign w:val="center"/>
          </w:tcPr>
          <w:p>
            <w:pPr>
              <w:pStyle w:val="27"/>
              <w:spacing w:line="300" w:lineRule="exact"/>
              <w:jc w:val="center"/>
            </w:pPr>
            <w:r>
              <w:t>12160</w:t>
            </w:r>
          </w:p>
        </w:tc>
      </w:tr>
    </w:tbl>
    <w:p>
      <w:pPr>
        <w:pStyle w:val="26"/>
        <w:spacing w:line="240" w:lineRule="auto"/>
        <w:ind w:firstLine="0"/>
        <w:rPr>
          <w:bCs/>
          <w:sz w:val="22"/>
          <w:szCs w:val="22"/>
        </w:rPr>
      </w:pPr>
    </w:p>
    <w:p>
      <w:pPr>
        <w:pStyle w:val="26"/>
        <w:spacing w:afterLines="50" w:line="240" w:lineRule="auto"/>
        <w:ind w:firstLine="0"/>
        <w:rPr>
          <w:rFonts w:eastAsia="仿宋_GB2312"/>
          <w:bCs/>
          <w:sz w:val="24"/>
          <w:szCs w:val="24"/>
        </w:rPr>
      </w:pPr>
      <w:r>
        <w:rPr>
          <w:bCs/>
          <w:sz w:val="22"/>
          <w:szCs w:val="22"/>
        </w:rPr>
        <w:drawing>
          <wp:inline distT="0" distB="0" distL="0" distR="0">
            <wp:extent cx="5321935" cy="2889250"/>
            <wp:effectExtent l="0" t="0" r="0" b="0"/>
            <wp:docPr id="59" name="图表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r>
        <w:rPr>
          <w:rFonts w:eastAsia="仿宋_GB2312"/>
          <w:bCs/>
          <w:sz w:val="24"/>
          <w:szCs w:val="24"/>
        </w:rPr>
        <w:t>图</w:t>
      </w:r>
      <w:r>
        <w:rPr>
          <w:rFonts w:hint="eastAsia" w:eastAsia="仿宋_GB2312"/>
          <w:bCs/>
          <w:sz w:val="24"/>
          <w:szCs w:val="24"/>
        </w:rPr>
        <w:t xml:space="preserve">24  </w:t>
      </w:r>
      <w:r>
        <w:rPr>
          <w:rFonts w:eastAsia="仿宋_GB2312"/>
          <w:bCs/>
          <w:sz w:val="24"/>
          <w:szCs w:val="24"/>
        </w:rPr>
        <w:t>陕西省“十四五”乡村公用充电设施规划逐年新增情况</w:t>
      </w:r>
    </w:p>
    <w:p>
      <w:pPr>
        <w:pStyle w:val="5"/>
        <w:spacing w:line="580" w:lineRule="exact"/>
        <w:ind w:firstLine="643"/>
        <w:rPr>
          <w:rFonts w:eastAsia="仿宋_GB2312" w:cs="Times New Roman"/>
        </w:rPr>
      </w:pPr>
      <w:r>
        <w:rPr>
          <w:rFonts w:hint="eastAsia"/>
        </w:rPr>
        <w:t>5.景区公用充电设施</w:t>
      </w:r>
      <w:bookmarkEnd w:id="48"/>
    </w:p>
    <w:p>
      <w:pPr>
        <w:pStyle w:val="2"/>
        <w:ind w:firstLine="640"/>
        <w:rPr>
          <w:rFonts w:eastAsia="仿宋_GB2312"/>
          <w:sz w:val="32"/>
          <w:szCs w:val="32"/>
        </w:rPr>
      </w:pPr>
      <w:r>
        <w:rPr>
          <w:rFonts w:hint="eastAsia" w:eastAsia="仿宋_GB2312"/>
          <w:sz w:val="32"/>
          <w:szCs w:val="32"/>
        </w:rPr>
        <w:t>建设覆盖省内</w:t>
      </w:r>
      <w:r>
        <w:rPr>
          <w:rFonts w:eastAsia="仿宋_GB2312"/>
          <w:sz w:val="32"/>
          <w:szCs w:val="32"/>
        </w:rPr>
        <w:t>4A</w:t>
      </w:r>
      <w:r>
        <w:rPr>
          <w:rFonts w:hint="eastAsia" w:eastAsia="仿宋_GB2312"/>
          <w:sz w:val="32"/>
          <w:szCs w:val="32"/>
        </w:rPr>
        <w:t>级及以上重点旅游景区的公用充电网络，位于市区内的景区充电设施纳入城市公用充电设施统一考虑，市区范围以外的</w:t>
      </w:r>
      <w:r>
        <w:rPr>
          <w:rFonts w:eastAsia="仿宋_GB2312"/>
          <w:sz w:val="32"/>
          <w:szCs w:val="32"/>
        </w:rPr>
        <w:t>4A</w:t>
      </w:r>
      <w:r>
        <w:rPr>
          <w:rFonts w:hint="eastAsia" w:eastAsia="仿宋_GB2312"/>
          <w:sz w:val="32"/>
          <w:szCs w:val="32"/>
        </w:rPr>
        <w:t>级及以上景区建设1座公用充电站；</w:t>
      </w:r>
      <w:r>
        <w:rPr>
          <w:rFonts w:eastAsia="仿宋_GB2312"/>
          <w:sz w:val="32"/>
          <w:szCs w:val="32"/>
        </w:rPr>
        <w:t>4A</w:t>
      </w:r>
      <w:r>
        <w:rPr>
          <w:rFonts w:hint="eastAsia" w:eastAsia="仿宋_GB2312"/>
          <w:sz w:val="32"/>
          <w:szCs w:val="32"/>
        </w:rPr>
        <w:t>级景区公用充电站含20根</w:t>
      </w:r>
      <w:r>
        <w:rPr>
          <w:rFonts w:eastAsia="仿宋_GB2312"/>
          <w:sz w:val="32"/>
          <w:szCs w:val="32"/>
        </w:rPr>
        <w:t>60kW</w:t>
      </w:r>
      <w:r>
        <w:rPr>
          <w:rFonts w:hint="eastAsia" w:eastAsia="仿宋_GB2312"/>
          <w:sz w:val="32"/>
          <w:szCs w:val="32"/>
        </w:rPr>
        <w:t>直流充电桩，5</w:t>
      </w:r>
      <w:r>
        <w:rPr>
          <w:rFonts w:eastAsia="仿宋_GB2312"/>
          <w:sz w:val="32"/>
          <w:szCs w:val="32"/>
        </w:rPr>
        <w:t>A</w:t>
      </w:r>
      <w:r>
        <w:rPr>
          <w:rFonts w:hint="eastAsia" w:eastAsia="仿宋_GB2312"/>
          <w:sz w:val="32"/>
          <w:szCs w:val="32"/>
        </w:rPr>
        <w:t>级景区公用充电站含40根</w:t>
      </w:r>
      <w:r>
        <w:rPr>
          <w:rFonts w:eastAsia="仿宋_GB2312"/>
          <w:sz w:val="32"/>
          <w:szCs w:val="32"/>
        </w:rPr>
        <w:t>60kW</w:t>
      </w:r>
      <w:r>
        <w:rPr>
          <w:rFonts w:hint="eastAsia" w:eastAsia="仿宋_GB2312"/>
          <w:sz w:val="32"/>
          <w:szCs w:val="32"/>
        </w:rPr>
        <w:t>直流充电桩，可根据具体需求确定充电桩根数。</w:t>
      </w:r>
    </w:p>
    <w:p>
      <w:pPr>
        <w:pStyle w:val="26"/>
        <w:spacing w:line="580" w:lineRule="exact"/>
        <w:rPr>
          <w:rFonts w:eastAsia="仿宋_GB2312"/>
          <w:bCs/>
          <w:sz w:val="24"/>
          <w:szCs w:val="24"/>
        </w:rPr>
      </w:pPr>
      <w:r>
        <w:rPr>
          <w:rFonts w:hint="eastAsia" w:eastAsia="仿宋_GB2312"/>
          <w:bCs/>
          <w:sz w:val="24"/>
          <w:szCs w:val="24"/>
        </w:rPr>
        <w:t>表</w:t>
      </w:r>
      <w:r>
        <w:rPr>
          <w:rFonts w:eastAsia="仿宋_GB2312"/>
          <w:bCs/>
          <w:sz w:val="24"/>
          <w:szCs w:val="24"/>
        </w:rPr>
        <w:t>2</w:t>
      </w:r>
      <w:r>
        <w:rPr>
          <w:rFonts w:hint="eastAsia" w:eastAsia="仿宋_GB2312"/>
          <w:bCs/>
          <w:sz w:val="24"/>
          <w:szCs w:val="24"/>
        </w:rPr>
        <w:t xml:space="preserve">9  </w:t>
      </w:r>
      <w:r>
        <w:rPr>
          <w:rFonts w:eastAsia="仿宋_GB2312"/>
          <w:bCs/>
          <w:sz w:val="24"/>
          <w:szCs w:val="24"/>
        </w:rPr>
        <w:t>陕西省</w:t>
      </w:r>
      <w:r>
        <w:rPr>
          <w:rFonts w:hint="eastAsia" w:eastAsia="仿宋_GB2312"/>
          <w:bCs/>
          <w:sz w:val="24"/>
          <w:szCs w:val="24"/>
        </w:rPr>
        <w:t>“十四</w:t>
      </w:r>
      <w:r>
        <w:rPr>
          <w:rFonts w:eastAsia="仿宋_GB2312"/>
          <w:bCs/>
          <w:sz w:val="24"/>
          <w:szCs w:val="24"/>
        </w:rPr>
        <w:t>五</w:t>
      </w:r>
      <w:r>
        <w:rPr>
          <w:rFonts w:hint="eastAsia" w:eastAsia="仿宋_GB2312"/>
          <w:bCs/>
          <w:sz w:val="24"/>
          <w:szCs w:val="24"/>
        </w:rPr>
        <w:t>”景区公用</w:t>
      </w:r>
      <w:r>
        <w:rPr>
          <w:rFonts w:eastAsia="仿宋_GB2312"/>
          <w:bCs/>
          <w:sz w:val="24"/>
          <w:szCs w:val="24"/>
        </w:rPr>
        <w:t>充电设施</w:t>
      </w:r>
      <w:r>
        <w:rPr>
          <w:rFonts w:hint="eastAsia" w:eastAsia="仿宋_GB2312"/>
          <w:bCs/>
          <w:sz w:val="24"/>
          <w:szCs w:val="24"/>
        </w:rPr>
        <w:t>规划逐年新增情况</w:t>
      </w:r>
    </w:p>
    <w:tbl>
      <w:tblPr>
        <w:tblStyle w:val="1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27"/>
        <w:gridCol w:w="709"/>
        <w:gridCol w:w="708"/>
        <w:gridCol w:w="709"/>
        <w:gridCol w:w="709"/>
        <w:gridCol w:w="850"/>
        <w:gridCol w:w="16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3227" w:type="dxa"/>
            <w:shd w:val="clear" w:color="auto" w:fill="auto"/>
            <w:vAlign w:val="center"/>
          </w:tcPr>
          <w:p>
            <w:pPr>
              <w:pStyle w:val="27"/>
              <w:spacing w:line="300" w:lineRule="exact"/>
              <w:jc w:val="center"/>
              <w:rPr>
                <w:rFonts w:ascii="仿宋" w:hAnsi="仿宋" w:eastAsia="仿宋"/>
              </w:rPr>
            </w:pPr>
            <w:r>
              <w:rPr>
                <w:rFonts w:hint="eastAsia" w:ascii="仿宋" w:hAnsi="仿宋" w:eastAsia="仿宋"/>
              </w:rPr>
              <w:t>类型</w:t>
            </w:r>
          </w:p>
        </w:tc>
        <w:tc>
          <w:tcPr>
            <w:tcW w:w="709" w:type="dxa"/>
            <w:shd w:val="clear" w:color="auto" w:fill="auto"/>
            <w:vAlign w:val="center"/>
          </w:tcPr>
          <w:p>
            <w:pPr>
              <w:pStyle w:val="27"/>
              <w:spacing w:line="300" w:lineRule="exact"/>
              <w:jc w:val="center"/>
              <w:rPr>
                <w:sz w:val="18"/>
              </w:rPr>
            </w:pPr>
            <w:r>
              <w:t>2021</w:t>
            </w:r>
          </w:p>
        </w:tc>
        <w:tc>
          <w:tcPr>
            <w:tcW w:w="708" w:type="dxa"/>
            <w:shd w:val="clear" w:color="auto" w:fill="auto"/>
            <w:vAlign w:val="center"/>
          </w:tcPr>
          <w:p>
            <w:pPr>
              <w:pStyle w:val="27"/>
              <w:spacing w:line="300" w:lineRule="exact"/>
              <w:jc w:val="center"/>
              <w:rPr>
                <w:sz w:val="18"/>
              </w:rPr>
            </w:pPr>
            <w:r>
              <w:t>2022</w:t>
            </w:r>
          </w:p>
        </w:tc>
        <w:tc>
          <w:tcPr>
            <w:tcW w:w="709" w:type="dxa"/>
            <w:shd w:val="clear" w:color="auto" w:fill="auto"/>
            <w:vAlign w:val="center"/>
          </w:tcPr>
          <w:p>
            <w:pPr>
              <w:pStyle w:val="27"/>
              <w:spacing w:line="300" w:lineRule="exact"/>
              <w:jc w:val="center"/>
              <w:rPr>
                <w:sz w:val="18"/>
              </w:rPr>
            </w:pPr>
            <w:r>
              <w:t>2023</w:t>
            </w:r>
          </w:p>
        </w:tc>
        <w:tc>
          <w:tcPr>
            <w:tcW w:w="709" w:type="dxa"/>
            <w:shd w:val="clear" w:color="auto" w:fill="auto"/>
            <w:vAlign w:val="center"/>
          </w:tcPr>
          <w:p>
            <w:pPr>
              <w:pStyle w:val="27"/>
              <w:spacing w:line="300" w:lineRule="exact"/>
              <w:jc w:val="center"/>
              <w:rPr>
                <w:sz w:val="18"/>
              </w:rPr>
            </w:pPr>
            <w:r>
              <w:t>2024</w:t>
            </w:r>
          </w:p>
        </w:tc>
        <w:tc>
          <w:tcPr>
            <w:tcW w:w="850" w:type="dxa"/>
            <w:shd w:val="clear" w:color="auto" w:fill="auto"/>
            <w:vAlign w:val="center"/>
          </w:tcPr>
          <w:p>
            <w:pPr>
              <w:pStyle w:val="27"/>
              <w:spacing w:line="300" w:lineRule="exact"/>
              <w:jc w:val="center"/>
              <w:rPr>
                <w:sz w:val="18"/>
              </w:rPr>
            </w:pPr>
            <w:r>
              <w:t>2025</w:t>
            </w:r>
          </w:p>
        </w:tc>
        <w:tc>
          <w:tcPr>
            <w:tcW w:w="1610" w:type="dxa"/>
            <w:shd w:val="clear" w:color="auto" w:fill="auto"/>
            <w:vAlign w:val="center"/>
          </w:tcPr>
          <w:p>
            <w:pPr>
              <w:pStyle w:val="27"/>
              <w:spacing w:line="300" w:lineRule="exact"/>
              <w:jc w:val="center"/>
              <w:rPr>
                <w:rFonts w:ascii="仿宋" w:hAnsi="仿宋" w:eastAsia="仿宋"/>
              </w:rPr>
            </w:pPr>
            <w:r>
              <w:rPr>
                <w:rFonts w:hint="eastAsia" w:ascii="仿宋" w:hAnsi="仿宋" w:eastAsia="仿宋"/>
              </w:rPr>
              <w:t>“十四五”新增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3227" w:type="dxa"/>
            <w:shd w:val="clear" w:color="auto" w:fill="auto"/>
            <w:vAlign w:val="center"/>
          </w:tcPr>
          <w:p>
            <w:pPr>
              <w:pStyle w:val="27"/>
              <w:spacing w:line="300" w:lineRule="exact"/>
              <w:jc w:val="center"/>
              <w:rPr>
                <w:rFonts w:ascii="仿宋" w:hAnsi="仿宋" w:eastAsia="仿宋"/>
              </w:rPr>
            </w:pPr>
            <w:r>
              <w:rPr>
                <w:rFonts w:hint="eastAsia" w:ascii="仿宋" w:hAnsi="仿宋" w:eastAsia="仿宋"/>
              </w:rPr>
              <w:t>景区公用充电站（座）</w:t>
            </w:r>
          </w:p>
        </w:tc>
        <w:tc>
          <w:tcPr>
            <w:tcW w:w="709" w:type="dxa"/>
            <w:shd w:val="clear" w:color="auto" w:fill="auto"/>
            <w:vAlign w:val="center"/>
          </w:tcPr>
          <w:p>
            <w:pPr>
              <w:pStyle w:val="27"/>
              <w:spacing w:line="300" w:lineRule="exact"/>
              <w:jc w:val="center"/>
            </w:pPr>
            <w:r>
              <w:rPr>
                <w:rFonts w:hint="eastAsia"/>
              </w:rPr>
              <w:t>20</w:t>
            </w:r>
          </w:p>
        </w:tc>
        <w:tc>
          <w:tcPr>
            <w:tcW w:w="708" w:type="dxa"/>
            <w:shd w:val="clear" w:color="auto" w:fill="auto"/>
          </w:tcPr>
          <w:p>
            <w:pPr>
              <w:pStyle w:val="27"/>
              <w:spacing w:line="300" w:lineRule="exact"/>
              <w:jc w:val="center"/>
            </w:pPr>
            <w:r>
              <w:t>20</w:t>
            </w:r>
          </w:p>
        </w:tc>
        <w:tc>
          <w:tcPr>
            <w:tcW w:w="709" w:type="dxa"/>
            <w:shd w:val="clear" w:color="auto" w:fill="auto"/>
          </w:tcPr>
          <w:p>
            <w:pPr>
              <w:pStyle w:val="27"/>
              <w:spacing w:line="300" w:lineRule="exact"/>
              <w:jc w:val="center"/>
            </w:pPr>
            <w:r>
              <w:t>20</w:t>
            </w:r>
          </w:p>
        </w:tc>
        <w:tc>
          <w:tcPr>
            <w:tcW w:w="709" w:type="dxa"/>
            <w:shd w:val="clear" w:color="auto" w:fill="auto"/>
          </w:tcPr>
          <w:p>
            <w:pPr>
              <w:pStyle w:val="27"/>
              <w:spacing w:line="300" w:lineRule="exact"/>
              <w:jc w:val="center"/>
            </w:pPr>
            <w:r>
              <w:t>20</w:t>
            </w:r>
          </w:p>
        </w:tc>
        <w:tc>
          <w:tcPr>
            <w:tcW w:w="850" w:type="dxa"/>
            <w:shd w:val="clear" w:color="auto" w:fill="auto"/>
          </w:tcPr>
          <w:p>
            <w:pPr>
              <w:pStyle w:val="27"/>
              <w:spacing w:line="300" w:lineRule="exact"/>
              <w:jc w:val="center"/>
            </w:pPr>
            <w:r>
              <w:rPr>
                <w:rFonts w:hint="eastAsia"/>
              </w:rPr>
              <w:t>20</w:t>
            </w:r>
          </w:p>
        </w:tc>
        <w:tc>
          <w:tcPr>
            <w:tcW w:w="1610" w:type="dxa"/>
            <w:shd w:val="clear" w:color="auto" w:fill="auto"/>
            <w:vAlign w:val="center"/>
          </w:tcPr>
          <w:p>
            <w:pPr>
              <w:pStyle w:val="27"/>
              <w:spacing w:line="300" w:lineRule="exact"/>
              <w:jc w:val="center"/>
            </w:pPr>
            <w:r>
              <w:rPr>
                <w:rFonts w:hint="eastAsia"/>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3227" w:type="dxa"/>
            <w:shd w:val="clear" w:color="auto" w:fill="auto"/>
            <w:vAlign w:val="center"/>
          </w:tcPr>
          <w:p>
            <w:pPr>
              <w:pStyle w:val="27"/>
              <w:spacing w:line="300" w:lineRule="exact"/>
              <w:jc w:val="center"/>
              <w:rPr>
                <w:rFonts w:ascii="仿宋" w:hAnsi="仿宋" w:eastAsia="仿宋"/>
              </w:rPr>
            </w:pPr>
            <w:r>
              <w:rPr>
                <w:rFonts w:hint="eastAsia" w:ascii="仿宋" w:hAnsi="仿宋" w:eastAsia="仿宋"/>
              </w:rPr>
              <w:t>以上所含充电桩（</w:t>
            </w:r>
            <w:r>
              <w:rPr>
                <w:rFonts w:ascii="仿宋" w:hAnsi="仿宋" w:eastAsia="仿宋"/>
              </w:rPr>
              <w:t>60kW</w:t>
            </w:r>
            <w:r>
              <w:rPr>
                <w:rFonts w:hint="eastAsia" w:ascii="仿宋" w:hAnsi="仿宋" w:eastAsia="仿宋"/>
              </w:rPr>
              <w:t>）总数（根）</w:t>
            </w:r>
          </w:p>
        </w:tc>
        <w:tc>
          <w:tcPr>
            <w:tcW w:w="709" w:type="dxa"/>
            <w:shd w:val="clear" w:color="auto" w:fill="auto"/>
            <w:vAlign w:val="center"/>
          </w:tcPr>
          <w:p>
            <w:pPr>
              <w:pStyle w:val="27"/>
              <w:spacing w:line="300" w:lineRule="exact"/>
              <w:jc w:val="center"/>
            </w:pPr>
            <w:r>
              <w:rPr>
                <w:rFonts w:hint="eastAsia"/>
              </w:rPr>
              <w:t>520</w:t>
            </w:r>
          </w:p>
        </w:tc>
        <w:tc>
          <w:tcPr>
            <w:tcW w:w="708" w:type="dxa"/>
            <w:shd w:val="clear" w:color="auto" w:fill="auto"/>
          </w:tcPr>
          <w:p>
            <w:pPr>
              <w:pStyle w:val="27"/>
              <w:spacing w:line="300" w:lineRule="exact"/>
              <w:jc w:val="center"/>
            </w:pPr>
            <w:r>
              <w:rPr>
                <w:rFonts w:hint="eastAsia"/>
              </w:rPr>
              <w:t>400</w:t>
            </w:r>
          </w:p>
        </w:tc>
        <w:tc>
          <w:tcPr>
            <w:tcW w:w="709" w:type="dxa"/>
            <w:shd w:val="clear" w:color="auto" w:fill="auto"/>
          </w:tcPr>
          <w:p>
            <w:pPr>
              <w:pStyle w:val="27"/>
              <w:spacing w:line="300" w:lineRule="exact"/>
              <w:jc w:val="center"/>
            </w:pPr>
            <w:r>
              <w:rPr>
                <w:rFonts w:hint="eastAsia"/>
              </w:rPr>
              <w:t>400</w:t>
            </w:r>
          </w:p>
        </w:tc>
        <w:tc>
          <w:tcPr>
            <w:tcW w:w="709" w:type="dxa"/>
            <w:shd w:val="clear" w:color="auto" w:fill="auto"/>
          </w:tcPr>
          <w:p>
            <w:pPr>
              <w:pStyle w:val="27"/>
              <w:spacing w:line="300" w:lineRule="exact"/>
              <w:jc w:val="center"/>
            </w:pPr>
            <w:r>
              <w:rPr>
                <w:rFonts w:hint="eastAsia"/>
              </w:rPr>
              <w:t>400</w:t>
            </w:r>
          </w:p>
        </w:tc>
        <w:tc>
          <w:tcPr>
            <w:tcW w:w="850" w:type="dxa"/>
            <w:shd w:val="clear" w:color="auto" w:fill="auto"/>
          </w:tcPr>
          <w:p>
            <w:pPr>
              <w:pStyle w:val="27"/>
              <w:spacing w:line="300" w:lineRule="exact"/>
              <w:jc w:val="center"/>
            </w:pPr>
            <w:r>
              <w:rPr>
                <w:rFonts w:hint="eastAsia"/>
              </w:rPr>
              <w:t>400</w:t>
            </w:r>
          </w:p>
        </w:tc>
        <w:tc>
          <w:tcPr>
            <w:tcW w:w="1610" w:type="dxa"/>
            <w:shd w:val="clear" w:color="auto" w:fill="auto"/>
            <w:vAlign w:val="center"/>
          </w:tcPr>
          <w:p>
            <w:pPr>
              <w:pStyle w:val="27"/>
              <w:spacing w:line="300" w:lineRule="exact"/>
              <w:jc w:val="center"/>
            </w:pPr>
            <w:r>
              <w:rPr>
                <w:rFonts w:hint="eastAsia"/>
              </w:rPr>
              <w:t>2120</w:t>
            </w:r>
          </w:p>
        </w:tc>
      </w:tr>
    </w:tbl>
    <w:p>
      <w:pPr>
        <w:pStyle w:val="4"/>
        <w:spacing w:beforeLines="50" w:line="580" w:lineRule="exact"/>
        <w:ind w:firstLine="643"/>
      </w:pPr>
      <w:bookmarkStart w:id="49" w:name="_Toc20618"/>
      <w:bookmarkStart w:id="50" w:name="_Toc10755"/>
      <w:r>
        <w:rPr>
          <w:rFonts w:hint="eastAsia"/>
        </w:rPr>
        <w:t>（四）用电需求预测</w:t>
      </w:r>
      <w:bookmarkEnd w:id="49"/>
      <w:bookmarkEnd w:id="50"/>
    </w:p>
    <w:p>
      <w:pPr>
        <w:ind w:firstLine="640" w:firstLineChars="200"/>
        <w:rPr>
          <w:rFonts w:eastAsia="仿宋_GB2312"/>
          <w:sz w:val="32"/>
          <w:szCs w:val="32"/>
        </w:rPr>
      </w:pPr>
      <w:r>
        <w:rPr>
          <w:rFonts w:hint="eastAsia" w:eastAsia="仿宋_GB2312"/>
          <w:sz w:val="32"/>
          <w:szCs w:val="32"/>
        </w:rPr>
        <w:t>根据充电设施现状及充电</w:t>
      </w:r>
      <w:r>
        <w:rPr>
          <w:rFonts w:ascii="Times New Roman" w:hAnsi="Times New Roman" w:eastAsia="仿宋_GB2312" w:cs="Times New Roman"/>
          <w:sz w:val="32"/>
          <w:szCs w:val="32"/>
        </w:rPr>
        <w:t>设施需求预测结果，至2025年省内充电基础设施总功率将达到674</w:t>
      </w:r>
      <w:r>
        <w:rPr>
          <w:rFonts w:hint="eastAsia" w:eastAsia="仿宋_GB2312"/>
          <w:sz w:val="32"/>
          <w:szCs w:val="32"/>
        </w:rPr>
        <w:t>万千瓦。</w:t>
      </w:r>
    </w:p>
    <w:p>
      <w:pPr>
        <w:pStyle w:val="26"/>
        <w:spacing w:line="580" w:lineRule="exact"/>
        <w:rPr>
          <w:rFonts w:eastAsia="仿宋_GB2312"/>
          <w:bCs/>
          <w:sz w:val="24"/>
          <w:szCs w:val="24"/>
        </w:rPr>
      </w:pPr>
      <w:r>
        <w:rPr>
          <w:rFonts w:hint="eastAsia" w:eastAsia="仿宋_GB2312"/>
          <w:bCs/>
          <w:sz w:val="24"/>
          <w:szCs w:val="24"/>
        </w:rPr>
        <w:t>表</w:t>
      </w:r>
      <w:r>
        <w:rPr>
          <w:rFonts w:eastAsia="仿宋_GB2312"/>
          <w:bCs/>
          <w:sz w:val="24"/>
          <w:szCs w:val="24"/>
        </w:rPr>
        <w:t>30</w:t>
      </w:r>
      <w:r>
        <w:rPr>
          <w:rFonts w:hint="eastAsia" w:eastAsia="仿宋_GB2312"/>
          <w:bCs/>
          <w:sz w:val="24"/>
          <w:szCs w:val="24"/>
        </w:rPr>
        <w:t xml:space="preserve">  </w:t>
      </w:r>
      <w:r>
        <w:rPr>
          <w:rFonts w:eastAsia="仿宋_GB2312"/>
          <w:bCs/>
          <w:sz w:val="24"/>
          <w:szCs w:val="24"/>
        </w:rPr>
        <w:t>陕西省</w:t>
      </w:r>
      <w:r>
        <w:rPr>
          <w:rFonts w:hint="eastAsia" w:eastAsia="仿宋_GB2312"/>
          <w:bCs/>
          <w:sz w:val="24"/>
          <w:szCs w:val="24"/>
        </w:rPr>
        <w:t>“十四</w:t>
      </w:r>
      <w:r>
        <w:rPr>
          <w:rFonts w:eastAsia="仿宋_GB2312"/>
          <w:bCs/>
          <w:sz w:val="24"/>
          <w:szCs w:val="24"/>
        </w:rPr>
        <w:t>五</w:t>
      </w:r>
      <w:r>
        <w:rPr>
          <w:rFonts w:hint="eastAsia" w:eastAsia="仿宋_GB2312"/>
          <w:bCs/>
          <w:sz w:val="24"/>
          <w:szCs w:val="24"/>
        </w:rPr>
        <w:t>”末</w:t>
      </w:r>
      <w:r>
        <w:rPr>
          <w:rFonts w:eastAsia="仿宋_GB2312"/>
          <w:bCs/>
          <w:sz w:val="24"/>
          <w:szCs w:val="24"/>
        </w:rPr>
        <w:t>充电设施</w:t>
      </w:r>
      <w:r>
        <w:rPr>
          <w:rFonts w:hint="eastAsia" w:eastAsia="仿宋_GB2312"/>
          <w:bCs/>
          <w:sz w:val="24"/>
          <w:szCs w:val="24"/>
        </w:rPr>
        <w:t>总功率</w:t>
      </w:r>
    </w:p>
    <w:tbl>
      <w:tblPr>
        <w:tblStyle w:val="17"/>
        <w:tblW w:w="7567" w:type="dxa"/>
        <w:jc w:val="center"/>
        <w:tblLayout w:type="fixed"/>
        <w:tblCellMar>
          <w:top w:w="0" w:type="dxa"/>
          <w:left w:w="108" w:type="dxa"/>
          <w:bottom w:w="0" w:type="dxa"/>
          <w:right w:w="108" w:type="dxa"/>
        </w:tblCellMar>
      </w:tblPr>
      <w:tblGrid>
        <w:gridCol w:w="3459"/>
        <w:gridCol w:w="2126"/>
        <w:gridCol w:w="1982"/>
      </w:tblGrid>
      <w:tr>
        <w:tblPrEx>
          <w:tblCellMar>
            <w:top w:w="0" w:type="dxa"/>
            <w:left w:w="108" w:type="dxa"/>
            <w:bottom w:w="0" w:type="dxa"/>
            <w:right w:w="108" w:type="dxa"/>
          </w:tblCellMar>
        </w:tblPrEx>
        <w:trPr>
          <w:trHeight w:val="270" w:hRule="atLeast"/>
          <w:jc w:val="center"/>
        </w:trPr>
        <w:tc>
          <w:tcPr>
            <w:tcW w:w="345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7"/>
              <w:spacing w:line="300" w:lineRule="exact"/>
              <w:jc w:val="center"/>
              <w:rPr>
                <w:rFonts w:ascii="仿宋" w:hAnsi="仿宋" w:eastAsia="仿宋"/>
              </w:rPr>
            </w:pPr>
            <w:r>
              <w:rPr>
                <w:rFonts w:hint="eastAsia" w:ascii="仿宋" w:hAnsi="仿宋" w:eastAsia="仿宋"/>
              </w:rPr>
              <w:t>充电设施类型</w:t>
            </w:r>
          </w:p>
        </w:tc>
        <w:tc>
          <w:tcPr>
            <w:tcW w:w="2126" w:type="dxa"/>
            <w:tcBorders>
              <w:top w:val="single" w:color="auto" w:sz="4" w:space="0"/>
              <w:left w:val="nil"/>
              <w:bottom w:val="single" w:color="auto" w:sz="4" w:space="0"/>
              <w:right w:val="single" w:color="auto" w:sz="4" w:space="0"/>
            </w:tcBorders>
            <w:shd w:val="clear" w:color="auto" w:fill="auto"/>
            <w:vAlign w:val="center"/>
          </w:tcPr>
          <w:p>
            <w:pPr>
              <w:pStyle w:val="27"/>
              <w:spacing w:line="300" w:lineRule="exact"/>
              <w:jc w:val="center"/>
              <w:rPr>
                <w:rFonts w:eastAsia="仿宋"/>
              </w:rPr>
            </w:pPr>
            <w:r>
              <w:rPr>
                <w:rFonts w:eastAsia="仿宋"/>
              </w:rPr>
              <w:t>累计充电桩数量（根）</w:t>
            </w:r>
          </w:p>
        </w:tc>
        <w:tc>
          <w:tcPr>
            <w:tcW w:w="1982" w:type="dxa"/>
            <w:tcBorders>
              <w:top w:val="single" w:color="auto" w:sz="4" w:space="0"/>
              <w:left w:val="nil"/>
              <w:bottom w:val="single" w:color="auto" w:sz="4" w:space="0"/>
              <w:right w:val="single" w:color="auto" w:sz="4" w:space="0"/>
            </w:tcBorders>
            <w:shd w:val="clear" w:color="auto" w:fill="auto"/>
            <w:vAlign w:val="center"/>
          </w:tcPr>
          <w:p>
            <w:pPr>
              <w:pStyle w:val="27"/>
              <w:spacing w:line="300" w:lineRule="exact"/>
              <w:jc w:val="center"/>
              <w:rPr>
                <w:rFonts w:eastAsia="仿宋"/>
              </w:rPr>
            </w:pPr>
            <w:r>
              <w:rPr>
                <w:rFonts w:eastAsia="仿宋"/>
              </w:rPr>
              <w:t>单台充电功率（kW）</w:t>
            </w:r>
          </w:p>
        </w:tc>
      </w:tr>
      <w:tr>
        <w:tblPrEx>
          <w:tblCellMar>
            <w:top w:w="0" w:type="dxa"/>
            <w:left w:w="108" w:type="dxa"/>
            <w:bottom w:w="0" w:type="dxa"/>
            <w:right w:w="108" w:type="dxa"/>
          </w:tblCellMar>
        </w:tblPrEx>
        <w:trPr>
          <w:trHeight w:val="270" w:hRule="atLeast"/>
          <w:jc w:val="center"/>
        </w:trPr>
        <w:tc>
          <w:tcPr>
            <w:tcW w:w="3459" w:type="dxa"/>
            <w:tcBorders>
              <w:top w:val="nil"/>
              <w:left w:val="single" w:color="auto" w:sz="4" w:space="0"/>
              <w:bottom w:val="single" w:color="auto" w:sz="4" w:space="0"/>
              <w:right w:val="single" w:color="auto" w:sz="4" w:space="0"/>
            </w:tcBorders>
            <w:shd w:val="clear" w:color="auto" w:fill="auto"/>
            <w:vAlign w:val="center"/>
          </w:tcPr>
          <w:p>
            <w:pPr>
              <w:pStyle w:val="27"/>
              <w:spacing w:line="300" w:lineRule="exact"/>
              <w:jc w:val="center"/>
              <w:rPr>
                <w:rFonts w:ascii="仿宋" w:hAnsi="仿宋" w:eastAsia="仿宋"/>
              </w:rPr>
            </w:pPr>
            <w:r>
              <w:rPr>
                <w:rFonts w:hint="eastAsia" w:ascii="仿宋" w:hAnsi="仿宋" w:eastAsia="仿宋"/>
              </w:rPr>
              <w:t>公交车充电桩</w:t>
            </w:r>
          </w:p>
        </w:tc>
        <w:tc>
          <w:tcPr>
            <w:tcW w:w="2126" w:type="dxa"/>
            <w:tcBorders>
              <w:top w:val="nil"/>
              <w:left w:val="nil"/>
              <w:bottom w:val="single" w:color="auto" w:sz="4" w:space="0"/>
              <w:right w:val="single" w:color="auto" w:sz="4" w:space="0"/>
            </w:tcBorders>
            <w:shd w:val="clear" w:color="auto" w:fill="auto"/>
            <w:vAlign w:val="center"/>
          </w:tcPr>
          <w:p>
            <w:pPr>
              <w:pStyle w:val="27"/>
              <w:spacing w:line="300" w:lineRule="exact"/>
              <w:jc w:val="center"/>
              <w:rPr>
                <w:rFonts w:eastAsia="仿宋"/>
              </w:rPr>
            </w:pPr>
            <w:r>
              <w:rPr>
                <w:rFonts w:eastAsia="仿宋"/>
              </w:rPr>
              <w:t>6670</w:t>
            </w:r>
          </w:p>
        </w:tc>
        <w:tc>
          <w:tcPr>
            <w:tcW w:w="1982" w:type="dxa"/>
            <w:tcBorders>
              <w:top w:val="nil"/>
              <w:left w:val="nil"/>
              <w:bottom w:val="single" w:color="auto" w:sz="4" w:space="0"/>
              <w:right w:val="single" w:color="auto" w:sz="4" w:space="0"/>
            </w:tcBorders>
            <w:shd w:val="clear" w:color="auto" w:fill="auto"/>
            <w:vAlign w:val="center"/>
          </w:tcPr>
          <w:p>
            <w:pPr>
              <w:pStyle w:val="27"/>
              <w:spacing w:line="300" w:lineRule="exact"/>
              <w:jc w:val="center"/>
              <w:rPr>
                <w:rFonts w:eastAsia="仿宋"/>
              </w:rPr>
            </w:pPr>
            <w:r>
              <w:rPr>
                <w:rFonts w:eastAsia="仿宋"/>
              </w:rPr>
              <w:t>60</w:t>
            </w:r>
          </w:p>
        </w:tc>
      </w:tr>
      <w:tr>
        <w:tblPrEx>
          <w:tblCellMar>
            <w:top w:w="0" w:type="dxa"/>
            <w:left w:w="108" w:type="dxa"/>
            <w:bottom w:w="0" w:type="dxa"/>
            <w:right w:w="108" w:type="dxa"/>
          </w:tblCellMar>
        </w:tblPrEx>
        <w:trPr>
          <w:trHeight w:val="270" w:hRule="atLeast"/>
          <w:jc w:val="center"/>
        </w:trPr>
        <w:tc>
          <w:tcPr>
            <w:tcW w:w="3459" w:type="dxa"/>
            <w:tcBorders>
              <w:top w:val="nil"/>
              <w:left w:val="single" w:color="auto" w:sz="4" w:space="0"/>
              <w:bottom w:val="single" w:color="auto" w:sz="4" w:space="0"/>
              <w:right w:val="single" w:color="auto" w:sz="4" w:space="0"/>
            </w:tcBorders>
            <w:shd w:val="clear" w:color="auto" w:fill="auto"/>
            <w:vAlign w:val="center"/>
          </w:tcPr>
          <w:p>
            <w:pPr>
              <w:pStyle w:val="27"/>
              <w:spacing w:line="300" w:lineRule="exact"/>
              <w:jc w:val="center"/>
              <w:rPr>
                <w:rFonts w:ascii="仿宋" w:hAnsi="仿宋" w:eastAsia="仿宋"/>
              </w:rPr>
            </w:pPr>
            <w:r>
              <w:rPr>
                <w:rFonts w:hint="eastAsia" w:ascii="仿宋" w:hAnsi="仿宋" w:eastAsia="仿宋"/>
              </w:rPr>
              <w:t>环卫车充电桩</w:t>
            </w:r>
          </w:p>
        </w:tc>
        <w:tc>
          <w:tcPr>
            <w:tcW w:w="2126" w:type="dxa"/>
            <w:tcBorders>
              <w:top w:val="nil"/>
              <w:left w:val="nil"/>
              <w:bottom w:val="single" w:color="auto" w:sz="4" w:space="0"/>
              <w:right w:val="single" w:color="auto" w:sz="4" w:space="0"/>
            </w:tcBorders>
            <w:shd w:val="clear" w:color="auto" w:fill="auto"/>
            <w:vAlign w:val="center"/>
          </w:tcPr>
          <w:p>
            <w:pPr>
              <w:pStyle w:val="27"/>
              <w:spacing w:line="300" w:lineRule="exact"/>
              <w:jc w:val="center"/>
              <w:rPr>
                <w:rFonts w:eastAsia="仿宋"/>
              </w:rPr>
            </w:pPr>
            <w:r>
              <w:rPr>
                <w:rFonts w:eastAsia="仿宋"/>
              </w:rPr>
              <w:t>600</w:t>
            </w:r>
          </w:p>
        </w:tc>
        <w:tc>
          <w:tcPr>
            <w:tcW w:w="1982" w:type="dxa"/>
            <w:tcBorders>
              <w:top w:val="nil"/>
              <w:left w:val="nil"/>
              <w:bottom w:val="single" w:color="auto" w:sz="4" w:space="0"/>
              <w:right w:val="single" w:color="auto" w:sz="4" w:space="0"/>
            </w:tcBorders>
            <w:shd w:val="clear" w:color="auto" w:fill="auto"/>
            <w:vAlign w:val="center"/>
          </w:tcPr>
          <w:p>
            <w:pPr>
              <w:pStyle w:val="27"/>
              <w:spacing w:line="300" w:lineRule="exact"/>
              <w:jc w:val="center"/>
              <w:rPr>
                <w:rFonts w:eastAsia="仿宋"/>
              </w:rPr>
            </w:pPr>
            <w:r>
              <w:rPr>
                <w:rFonts w:eastAsia="仿宋"/>
              </w:rPr>
              <w:t>20</w:t>
            </w:r>
          </w:p>
        </w:tc>
      </w:tr>
      <w:tr>
        <w:tblPrEx>
          <w:tblCellMar>
            <w:top w:w="0" w:type="dxa"/>
            <w:left w:w="108" w:type="dxa"/>
            <w:bottom w:w="0" w:type="dxa"/>
            <w:right w:w="108" w:type="dxa"/>
          </w:tblCellMar>
        </w:tblPrEx>
        <w:trPr>
          <w:trHeight w:val="270" w:hRule="atLeast"/>
          <w:jc w:val="center"/>
        </w:trPr>
        <w:tc>
          <w:tcPr>
            <w:tcW w:w="3459" w:type="dxa"/>
            <w:tcBorders>
              <w:top w:val="nil"/>
              <w:left w:val="single" w:color="auto" w:sz="4" w:space="0"/>
              <w:bottom w:val="single" w:color="auto" w:sz="4" w:space="0"/>
              <w:right w:val="single" w:color="auto" w:sz="4" w:space="0"/>
            </w:tcBorders>
            <w:shd w:val="clear" w:color="auto" w:fill="auto"/>
            <w:vAlign w:val="center"/>
          </w:tcPr>
          <w:p>
            <w:pPr>
              <w:pStyle w:val="27"/>
              <w:spacing w:line="300" w:lineRule="exact"/>
              <w:jc w:val="center"/>
              <w:rPr>
                <w:rFonts w:ascii="仿宋" w:hAnsi="仿宋" w:eastAsia="仿宋"/>
              </w:rPr>
            </w:pPr>
            <w:r>
              <w:rPr>
                <w:rFonts w:hint="eastAsia" w:ascii="仿宋" w:hAnsi="仿宋" w:eastAsia="仿宋"/>
              </w:rPr>
              <w:t>电动客运班车、旅游客车充电桩</w:t>
            </w:r>
          </w:p>
        </w:tc>
        <w:tc>
          <w:tcPr>
            <w:tcW w:w="2126" w:type="dxa"/>
            <w:tcBorders>
              <w:top w:val="nil"/>
              <w:left w:val="nil"/>
              <w:bottom w:val="single" w:color="auto" w:sz="4" w:space="0"/>
              <w:right w:val="single" w:color="auto" w:sz="4" w:space="0"/>
            </w:tcBorders>
            <w:shd w:val="clear" w:color="auto" w:fill="auto"/>
            <w:vAlign w:val="center"/>
          </w:tcPr>
          <w:p>
            <w:pPr>
              <w:pStyle w:val="27"/>
              <w:spacing w:line="300" w:lineRule="exact"/>
              <w:jc w:val="center"/>
              <w:rPr>
                <w:rFonts w:eastAsia="仿宋"/>
              </w:rPr>
            </w:pPr>
            <w:r>
              <w:rPr>
                <w:rFonts w:eastAsia="仿宋"/>
              </w:rPr>
              <w:t>2000</w:t>
            </w:r>
          </w:p>
        </w:tc>
        <w:tc>
          <w:tcPr>
            <w:tcW w:w="1982" w:type="dxa"/>
            <w:tcBorders>
              <w:top w:val="nil"/>
              <w:left w:val="nil"/>
              <w:bottom w:val="single" w:color="auto" w:sz="4" w:space="0"/>
              <w:right w:val="single" w:color="auto" w:sz="4" w:space="0"/>
            </w:tcBorders>
            <w:shd w:val="clear" w:color="auto" w:fill="auto"/>
            <w:vAlign w:val="center"/>
          </w:tcPr>
          <w:p>
            <w:pPr>
              <w:pStyle w:val="27"/>
              <w:spacing w:line="300" w:lineRule="exact"/>
              <w:jc w:val="center"/>
              <w:rPr>
                <w:rFonts w:eastAsia="仿宋"/>
              </w:rPr>
            </w:pPr>
            <w:r>
              <w:rPr>
                <w:rFonts w:eastAsia="仿宋"/>
              </w:rPr>
              <w:t>60</w:t>
            </w:r>
          </w:p>
        </w:tc>
      </w:tr>
      <w:tr>
        <w:tblPrEx>
          <w:tblCellMar>
            <w:top w:w="0" w:type="dxa"/>
            <w:left w:w="108" w:type="dxa"/>
            <w:bottom w:w="0" w:type="dxa"/>
            <w:right w:w="108" w:type="dxa"/>
          </w:tblCellMar>
        </w:tblPrEx>
        <w:trPr>
          <w:trHeight w:val="270" w:hRule="atLeast"/>
          <w:jc w:val="center"/>
        </w:trPr>
        <w:tc>
          <w:tcPr>
            <w:tcW w:w="3459" w:type="dxa"/>
            <w:tcBorders>
              <w:top w:val="nil"/>
              <w:left w:val="single" w:color="auto" w:sz="4" w:space="0"/>
              <w:bottom w:val="single" w:color="auto" w:sz="4" w:space="0"/>
              <w:right w:val="single" w:color="auto" w:sz="4" w:space="0"/>
            </w:tcBorders>
            <w:shd w:val="clear" w:color="auto" w:fill="auto"/>
            <w:vAlign w:val="center"/>
          </w:tcPr>
          <w:p>
            <w:pPr>
              <w:pStyle w:val="27"/>
              <w:spacing w:line="300" w:lineRule="exact"/>
              <w:jc w:val="center"/>
              <w:rPr>
                <w:rFonts w:ascii="仿宋" w:hAnsi="仿宋" w:eastAsia="仿宋"/>
              </w:rPr>
            </w:pPr>
            <w:r>
              <w:rPr>
                <w:rFonts w:hint="eastAsia" w:ascii="仿宋" w:hAnsi="仿宋" w:eastAsia="仿宋"/>
              </w:rPr>
              <w:t>其他车辆（机场用车、工程车辆）</w:t>
            </w:r>
          </w:p>
        </w:tc>
        <w:tc>
          <w:tcPr>
            <w:tcW w:w="2126" w:type="dxa"/>
            <w:tcBorders>
              <w:top w:val="nil"/>
              <w:left w:val="nil"/>
              <w:bottom w:val="single" w:color="auto" w:sz="4" w:space="0"/>
              <w:right w:val="single" w:color="auto" w:sz="4" w:space="0"/>
            </w:tcBorders>
            <w:shd w:val="clear" w:color="auto" w:fill="auto"/>
            <w:vAlign w:val="center"/>
          </w:tcPr>
          <w:p>
            <w:pPr>
              <w:pStyle w:val="27"/>
              <w:spacing w:line="300" w:lineRule="exact"/>
              <w:jc w:val="center"/>
              <w:rPr>
                <w:rFonts w:eastAsia="仿宋"/>
              </w:rPr>
            </w:pPr>
            <w:r>
              <w:rPr>
                <w:rFonts w:eastAsia="仿宋"/>
              </w:rPr>
              <w:t>600</w:t>
            </w:r>
          </w:p>
        </w:tc>
        <w:tc>
          <w:tcPr>
            <w:tcW w:w="1982" w:type="dxa"/>
            <w:tcBorders>
              <w:top w:val="nil"/>
              <w:left w:val="nil"/>
              <w:bottom w:val="single" w:color="auto" w:sz="4" w:space="0"/>
              <w:right w:val="single" w:color="auto" w:sz="4" w:space="0"/>
            </w:tcBorders>
            <w:shd w:val="clear" w:color="auto" w:fill="auto"/>
            <w:vAlign w:val="center"/>
          </w:tcPr>
          <w:p>
            <w:pPr>
              <w:pStyle w:val="27"/>
              <w:spacing w:line="300" w:lineRule="exact"/>
              <w:jc w:val="center"/>
              <w:rPr>
                <w:rFonts w:eastAsia="仿宋"/>
              </w:rPr>
            </w:pPr>
            <w:r>
              <w:rPr>
                <w:rFonts w:eastAsia="仿宋"/>
              </w:rPr>
              <w:t>60</w:t>
            </w:r>
          </w:p>
        </w:tc>
      </w:tr>
      <w:tr>
        <w:tblPrEx>
          <w:tblCellMar>
            <w:top w:w="0" w:type="dxa"/>
            <w:left w:w="108" w:type="dxa"/>
            <w:bottom w:w="0" w:type="dxa"/>
            <w:right w:w="108" w:type="dxa"/>
          </w:tblCellMar>
        </w:tblPrEx>
        <w:trPr>
          <w:trHeight w:val="270" w:hRule="atLeast"/>
          <w:jc w:val="center"/>
        </w:trPr>
        <w:tc>
          <w:tcPr>
            <w:tcW w:w="3459" w:type="dxa"/>
            <w:tcBorders>
              <w:top w:val="nil"/>
              <w:left w:val="single" w:color="auto" w:sz="4" w:space="0"/>
              <w:bottom w:val="single" w:color="auto" w:sz="4" w:space="0"/>
              <w:right w:val="single" w:color="auto" w:sz="4" w:space="0"/>
            </w:tcBorders>
            <w:shd w:val="clear" w:color="auto" w:fill="auto"/>
            <w:vAlign w:val="center"/>
          </w:tcPr>
          <w:p>
            <w:pPr>
              <w:pStyle w:val="27"/>
              <w:spacing w:line="300" w:lineRule="exact"/>
              <w:jc w:val="center"/>
              <w:rPr>
                <w:rFonts w:ascii="仿宋" w:hAnsi="仿宋" w:eastAsia="仿宋"/>
              </w:rPr>
            </w:pPr>
            <w:r>
              <w:rPr>
                <w:rFonts w:hint="eastAsia" w:ascii="仿宋" w:hAnsi="仿宋" w:eastAsia="仿宋"/>
              </w:rPr>
              <w:t>私人及公务车充电桩</w:t>
            </w:r>
          </w:p>
        </w:tc>
        <w:tc>
          <w:tcPr>
            <w:tcW w:w="2126" w:type="dxa"/>
            <w:tcBorders>
              <w:top w:val="nil"/>
              <w:left w:val="nil"/>
              <w:bottom w:val="single" w:color="auto" w:sz="4" w:space="0"/>
              <w:right w:val="single" w:color="auto" w:sz="4" w:space="0"/>
            </w:tcBorders>
            <w:shd w:val="clear" w:color="auto" w:fill="auto"/>
            <w:vAlign w:val="center"/>
          </w:tcPr>
          <w:p>
            <w:pPr>
              <w:pStyle w:val="27"/>
              <w:spacing w:line="300" w:lineRule="exact"/>
              <w:jc w:val="center"/>
              <w:rPr>
                <w:rFonts w:eastAsia="仿宋"/>
              </w:rPr>
            </w:pPr>
            <w:r>
              <w:rPr>
                <w:rFonts w:eastAsia="仿宋"/>
              </w:rPr>
              <w:t>335000</w:t>
            </w:r>
          </w:p>
        </w:tc>
        <w:tc>
          <w:tcPr>
            <w:tcW w:w="1982" w:type="dxa"/>
            <w:tcBorders>
              <w:top w:val="nil"/>
              <w:left w:val="nil"/>
              <w:bottom w:val="single" w:color="auto" w:sz="4" w:space="0"/>
              <w:right w:val="single" w:color="auto" w:sz="4" w:space="0"/>
            </w:tcBorders>
            <w:shd w:val="clear" w:color="auto" w:fill="auto"/>
            <w:vAlign w:val="center"/>
          </w:tcPr>
          <w:p>
            <w:pPr>
              <w:pStyle w:val="27"/>
              <w:spacing w:line="300" w:lineRule="exact"/>
              <w:jc w:val="center"/>
              <w:rPr>
                <w:rFonts w:eastAsia="仿宋"/>
              </w:rPr>
            </w:pPr>
            <w:r>
              <w:rPr>
                <w:rFonts w:eastAsia="仿宋"/>
              </w:rPr>
              <w:t>7</w:t>
            </w:r>
          </w:p>
        </w:tc>
      </w:tr>
      <w:tr>
        <w:tblPrEx>
          <w:tblCellMar>
            <w:top w:w="0" w:type="dxa"/>
            <w:left w:w="108" w:type="dxa"/>
            <w:bottom w:w="0" w:type="dxa"/>
            <w:right w:w="108" w:type="dxa"/>
          </w:tblCellMar>
        </w:tblPrEx>
        <w:trPr>
          <w:trHeight w:val="270" w:hRule="atLeast"/>
          <w:jc w:val="center"/>
        </w:trPr>
        <w:tc>
          <w:tcPr>
            <w:tcW w:w="3459" w:type="dxa"/>
            <w:tcBorders>
              <w:top w:val="nil"/>
              <w:left w:val="single" w:color="auto" w:sz="4" w:space="0"/>
              <w:bottom w:val="single" w:color="auto" w:sz="4" w:space="0"/>
              <w:right w:val="single" w:color="auto" w:sz="4" w:space="0"/>
            </w:tcBorders>
            <w:shd w:val="clear" w:color="auto" w:fill="auto"/>
            <w:vAlign w:val="center"/>
          </w:tcPr>
          <w:p>
            <w:pPr>
              <w:pStyle w:val="27"/>
              <w:spacing w:line="300" w:lineRule="exact"/>
              <w:jc w:val="center"/>
              <w:rPr>
                <w:rFonts w:ascii="仿宋" w:hAnsi="仿宋" w:eastAsia="仿宋"/>
              </w:rPr>
            </w:pPr>
            <w:r>
              <w:rPr>
                <w:rFonts w:hint="eastAsia" w:ascii="仿宋" w:hAnsi="仿宋" w:eastAsia="仿宋"/>
              </w:rPr>
              <w:t>直流公共充电桩</w:t>
            </w:r>
          </w:p>
        </w:tc>
        <w:tc>
          <w:tcPr>
            <w:tcW w:w="2126" w:type="dxa"/>
            <w:tcBorders>
              <w:top w:val="nil"/>
              <w:left w:val="nil"/>
              <w:bottom w:val="single" w:color="auto" w:sz="4" w:space="0"/>
              <w:right w:val="single" w:color="auto" w:sz="4" w:space="0"/>
            </w:tcBorders>
            <w:shd w:val="clear" w:color="auto" w:fill="auto"/>
            <w:vAlign w:val="center"/>
          </w:tcPr>
          <w:p>
            <w:pPr>
              <w:pStyle w:val="27"/>
              <w:spacing w:line="300" w:lineRule="exact"/>
              <w:jc w:val="center"/>
              <w:rPr>
                <w:rFonts w:eastAsia="仿宋"/>
              </w:rPr>
            </w:pPr>
            <w:r>
              <w:rPr>
                <w:rFonts w:eastAsia="仿宋"/>
              </w:rPr>
              <w:t>39500</w:t>
            </w:r>
          </w:p>
        </w:tc>
        <w:tc>
          <w:tcPr>
            <w:tcW w:w="1982" w:type="dxa"/>
            <w:tcBorders>
              <w:top w:val="nil"/>
              <w:left w:val="nil"/>
              <w:bottom w:val="single" w:color="auto" w:sz="4" w:space="0"/>
              <w:right w:val="single" w:color="auto" w:sz="4" w:space="0"/>
            </w:tcBorders>
            <w:shd w:val="clear" w:color="auto" w:fill="auto"/>
            <w:vAlign w:val="center"/>
          </w:tcPr>
          <w:p>
            <w:pPr>
              <w:pStyle w:val="27"/>
              <w:spacing w:line="300" w:lineRule="exact"/>
              <w:jc w:val="center"/>
              <w:rPr>
                <w:rFonts w:eastAsia="仿宋"/>
              </w:rPr>
            </w:pPr>
            <w:r>
              <w:rPr>
                <w:rFonts w:eastAsia="仿宋"/>
              </w:rPr>
              <w:t>60</w:t>
            </w:r>
          </w:p>
        </w:tc>
      </w:tr>
      <w:tr>
        <w:tblPrEx>
          <w:tblCellMar>
            <w:top w:w="0" w:type="dxa"/>
            <w:left w:w="108" w:type="dxa"/>
            <w:bottom w:w="0" w:type="dxa"/>
            <w:right w:w="108" w:type="dxa"/>
          </w:tblCellMar>
        </w:tblPrEx>
        <w:trPr>
          <w:trHeight w:val="270" w:hRule="atLeast"/>
          <w:jc w:val="center"/>
        </w:trPr>
        <w:tc>
          <w:tcPr>
            <w:tcW w:w="3459" w:type="dxa"/>
            <w:tcBorders>
              <w:top w:val="nil"/>
              <w:left w:val="single" w:color="auto" w:sz="4" w:space="0"/>
              <w:bottom w:val="single" w:color="auto" w:sz="4" w:space="0"/>
              <w:right w:val="single" w:color="auto" w:sz="4" w:space="0"/>
            </w:tcBorders>
            <w:shd w:val="clear" w:color="auto" w:fill="auto"/>
            <w:vAlign w:val="center"/>
          </w:tcPr>
          <w:p>
            <w:pPr>
              <w:pStyle w:val="27"/>
              <w:spacing w:line="300" w:lineRule="exact"/>
              <w:jc w:val="center"/>
              <w:rPr>
                <w:rFonts w:ascii="仿宋" w:hAnsi="仿宋" w:eastAsia="仿宋"/>
              </w:rPr>
            </w:pPr>
            <w:r>
              <w:rPr>
                <w:rFonts w:hint="eastAsia" w:ascii="仿宋" w:hAnsi="仿宋" w:eastAsia="仿宋"/>
              </w:rPr>
              <w:t>小功率直流公共充电桩</w:t>
            </w:r>
          </w:p>
        </w:tc>
        <w:tc>
          <w:tcPr>
            <w:tcW w:w="2126" w:type="dxa"/>
            <w:tcBorders>
              <w:top w:val="nil"/>
              <w:left w:val="nil"/>
              <w:bottom w:val="single" w:color="auto" w:sz="4" w:space="0"/>
              <w:right w:val="single" w:color="auto" w:sz="4" w:space="0"/>
            </w:tcBorders>
            <w:shd w:val="clear" w:color="auto" w:fill="auto"/>
            <w:vAlign w:val="center"/>
          </w:tcPr>
          <w:p>
            <w:pPr>
              <w:pStyle w:val="27"/>
              <w:spacing w:line="300" w:lineRule="exact"/>
              <w:jc w:val="center"/>
              <w:rPr>
                <w:rFonts w:eastAsia="仿宋"/>
              </w:rPr>
            </w:pPr>
            <w:r>
              <w:rPr>
                <w:rFonts w:eastAsia="仿宋"/>
              </w:rPr>
              <w:t>25500</w:t>
            </w:r>
          </w:p>
        </w:tc>
        <w:tc>
          <w:tcPr>
            <w:tcW w:w="1982" w:type="dxa"/>
            <w:tcBorders>
              <w:top w:val="nil"/>
              <w:left w:val="nil"/>
              <w:bottom w:val="single" w:color="auto" w:sz="4" w:space="0"/>
              <w:right w:val="single" w:color="auto" w:sz="4" w:space="0"/>
            </w:tcBorders>
            <w:shd w:val="clear" w:color="auto" w:fill="auto"/>
            <w:vAlign w:val="center"/>
          </w:tcPr>
          <w:p>
            <w:pPr>
              <w:pStyle w:val="27"/>
              <w:spacing w:line="300" w:lineRule="exact"/>
              <w:jc w:val="center"/>
              <w:rPr>
                <w:rFonts w:eastAsia="仿宋"/>
              </w:rPr>
            </w:pPr>
            <w:r>
              <w:rPr>
                <w:rFonts w:eastAsia="仿宋"/>
              </w:rPr>
              <w:t>20</w:t>
            </w:r>
          </w:p>
        </w:tc>
      </w:tr>
      <w:tr>
        <w:tblPrEx>
          <w:tblCellMar>
            <w:top w:w="0" w:type="dxa"/>
            <w:left w:w="108" w:type="dxa"/>
            <w:bottom w:w="0" w:type="dxa"/>
            <w:right w:w="108" w:type="dxa"/>
          </w:tblCellMar>
        </w:tblPrEx>
        <w:trPr>
          <w:trHeight w:val="270" w:hRule="atLeast"/>
          <w:jc w:val="center"/>
        </w:trPr>
        <w:tc>
          <w:tcPr>
            <w:tcW w:w="3459" w:type="dxa"/>
            <w:tcBorders>
              <w:top w:val="nil"/>
              <w:left w:val="single" w:color="auto" w:sz="4" w:space="0"/>
              <w:bottom w:val="single" w:color="auto" w:sz="4" w:space="0"/>
              <w:right w:val="single" w:color="auto" w:sz="4" w:space="0"/>
            </w:tcBorders>
            <w:shd w:val="clear" w:color="auto" w:fill="auto"/>
            <w:vAlign w:val="center"/>
          </w:tcPr>
          <w:p>
            <w:pPr>
              <w:pStyle w:val="27"/>
              <w:spacing w:line="300" w:lineRule="exact"/>
              <w:jc w:val="center"/>
              <w:rPr>
                <w:rFonts w:ascii="仿宋" w:hAnsi="仿宋" w:eastAsia="仿宋"/>
              </w:rPr>
            </w:pPr>
            <w:r>
              <w:rPr>
                <w:rFonts w:hint="eastAsia" w:ascii="仿宋" w:hAnsi="仿宋" w:eastAsia="仿宋"/>
              </w:rPr>
              <w:t>高速公路公共充电站充电桩</w:t>
            </w:r>
          </w:p>
        </w:tc>
        <w:tc>
          <w:tcPr>
            <w:tcW w:w="2126" w:type="dxa"/>
            <w:tcBorders>
              <w:top w:val="nil"/>
              <w:left w:val="nil"/>
              <w:bottom w:val="single" w:color="auto" w:sz="4" w:space="0"/>
              <w:right w:val="single" w:color="auto" w:sz="4" w:space="0"/>
            </w:tcBorders>
            <w:shd w:val="clear" w:color="auto" w:fill="auto"/>
            <w:vAlign w:val="center"/>
          </w:tcPr>
          <w:p>
            <w:pPr>
              <w:pStyle w:val="27"/>
              <w:spacing w:line="300" w:lineRule="exact"/>
              <w:jc w:val="center"/>
              <w:rPr>
                <w:rFonts w:eastAsia="仿宋"/>
              </w:rPr>
            </w:pPr>
            <w:r>
              <w:rPr>
                <w:rFonts w:eastAsia="仿宋"/>
              </w:rPr>
              <w:t>1620</w:t>
            </w:r>
          </w:p>
        </w:tc>
        <w:tc>
          <w:tcPr>
            <w:tcW w:w="1982" w:type="dxa"/>
            <w:tcBorders>
              <w:top w:val="nil"/>
              <w:left w:val="nil"/>
              <w:bottom w:val="single" w:color="auto" w:sz="4" w:space="0"/>
              <w:right w:val="single" w:color="auto" w:sz="4" w:space="0"/>
            </w:tcBorders>
            <w:shd w:val="clear" w:color="auto" w:fill="auto"/>
            <w:vAlign w:val="center"/>
          </w:tcPr>
          <w:p>
            <w:pPr>
              <w:pStyle w:val="27"/>
              <w:spacing w:line="300" w:lineRule="exact"/>
              <w:jc w:val="center"/>
              <w:rPr>
                <w:rFonts w:eastAsia="仿宋"/>
              </w:rPr>
            </w:pPr>
            <w:r>
              <w:rPr>
                <w:rFonts w:eastAsia="仿宋"/>
              </w:rPr>
              <w:t>60</w:t>
            </w:r>
          </w:p>
        </w:tc>
      </w:tr>
      <w:tr>
        <w:tblPrEx>
          <w:tblCellMar>
            <w:top w:w="0" w:type="dxa"/>
            <w:left w:w="108" w:type="dxa"/>
            <w:bottom w:w="0" w:type="dxa"/>
            <w:right w:w="108" w:type="dxa"/>
          </w:tblCellMar>
        </w:tblPrEx>
        <w:trPr>
          <w:trHeight w:val="270" w:hRule="atLeast"/>
          <w:jc w:val="center"/>
        </w:trPr>
        <w:tc>
          <w:tcPr>
            <w:tcW w:w="3459" w:type="dxa"/>
            <w:tcBorders>
              <w:top w:val="nil"/>
              <w:left w:val="single" w:color="auto" w:sz="4" w:space="0"/>
              <w:bottom w:val="single" w:color="auto" w:sz="4" w:space="0"/>
              <w:right w:val="single" w:color="auto" w:sz="4" w:space="0"/>
            </w:tcBorders>
            <w:shd w:val="clear" w:color="auto" w:fill="auto"/>
            <w:vAlign w:val="center"/>
          </w:tcPr>
          <w:p>
            <w:pPr>
              <w:pStyle w:val="27"/>
              <w:spacing w:line="300" w:lineRule="exact"/>
              <w:jc w:val="center"/>
              <w:rPr>
                <w:rFonts w:ascii="仿宋" w:hAnsi="仿宋" w:eastAsia="仿宋"/>
              </w:rPr>
            </w:pPr>
            <w:r>
              <w:rPr>
                <w:rFonts w:hint="eastAsia" w:ascii="仿宋" w:hAnsi="仿宋" w:eastAsia="仿宋"/>
              </w:rPr>
              <w:t>乡村公用充电桩</w:t>
            </w:r>
          </w:p>
        </w:tc>
        <w:tc>
          <w:tcPr>
            <w:tcW w:w="2126" w:type="dxa"/>
            <w:tcBorders>
              <w:top w:val="nil"/>
              <w:left w:val="nil"/>
              <w:bottom w:val="single" w:color="auto" w:sz="4" w:space="0"/>
              <w:right w:val="single" w:color="auto" w:sz="4" w:space="0"/>
            </w:tcBorders>
            <w:shd w:val="clear" w:color="auto" w:fill="auto"/>
            <w:vAlign w:val="center"/>
          </w:tcPr>
          <w:p>
            <w:pPr>
              <w:pStyle w:val="27"/>
              <w:spacing w:line="300" w:lineRule="exact"/>
              <w:jc w:val="center"/>
              <w:rPr>
                <w:rFonts w:eastAsia="仿宋"/>
              </w:rPr>
            </w:pPr>
            <w:r>
              <w:rPr>
                <w:rFonts w:eastAsia="仿宋"/>
              </w:rPr>
              <w:t>12160</w:t>
            </w:r>
          </w:p>
        </w:tc>
        <w:tc>
          <w:tcPr>
            <w:tcW w:w="1982" w:type="dxa"/>
            <w:tcBorders>
              <w:top w:val="nil"/>
              <w:left w:val="nil"/>
              <w:bottom w:val="single" w:color="auto" w:sz="4" w:space="0"/>
              <w:right w:val="single" w:color="auto" w:sz="4" w:space="0"/>
            </w:tcBorders>
            <w:shd w:val="clear" w:color="auto" w:fill="auto"/>
            <w:vAlign w:val="center"/>
          </w:tcPr>
          <w:p>
            <w:pPr>
              <w:pStyle w:val="27"/>
              <w:spacing w:line="300" w:lineRule="exact"/>
              <w:jc w:val="center"/>
              <w:rPr>
                <w:rFonts w:eastAsia="仿宋"/>
              </w:rPr>
            </w:pPr>
            <w:r>
              <w:rPr>
                <w:rFonts w:eastAsia="仿宋"/>
              </w:rPr>
              <w:t>60</w:t>
            </w:r>
          </w:p>
        </w:tc>
      </w:tr>
      <w:tr>
        <w:tblPrEx>
          <w:tblCellMar>
            <w:top w:w="0" w:type="dxa"/>
            <w:left w:w="108" w:type="dxa"/>
            <w:bottom w:w="0" w:type="dxa"/>
            <w:right w:w="108" w:type="dxa"/>
          </w:tblCellMar>
        </w:tblPrEx>
        <w:trPr>
          <w:trHeight w:val="270" w:hRule="atLeast"/>
          <w:jc w:val="center"/>
        </w:trPr>
        <w:tc>
          <w:tcPr>
            <w:tcW w:w="3459" w:type="dxa"/>
            <w:tcBorders>
              <w:top w:val="nil"/>
              <w:left w:val="single" w:color="auto" w:sz="4" w:space="0"/>
              <w:bottom w:val="single" w:color="auto" w:sz="4" w:space="0"/>
              <w:right w:val="single" w:color="auto" w:sz="4" w:space="0"/>
            </w:tcBorders>
            <w:shd w:val="clear" w:color="auto" w:fill="auto"/>
            <w:vAlign w:val="center"/>
          </w:tcPr>
          <w:p>
            <w:pPr>
              <w:pStyle w:val="27"/>
              <w:spacing w:line="300" w:lineRule="exact"/>
              <w:jc w:val="center"/>
              <w:rPr>
                <w:rFonts w:ascii="仿宋" w:hAnsi="仿宋" w:eastAsia="仿宋"/>
              </w:rPr>
            </w:pPr>
            <w:r>
              <w:rPr>
                <w:rFonts w:hint="eastAsia" w:ascii="仿宋" w:hAnsi="仿宋" w:eastAsia="仿宋"/>
              </w:rPr>
              <w:t>景区公用充电站充电桩</w:t>
            </w:r>
          </w:p>
        </w:tc>
        <w:tc>
          <w:tcPr>
            <w:tcW w:w="2126" w:type="dxa"/>
            <w:tcBorders>
              <w:top w:val="nil"/>
              <w:left w:val="nil"/>
              <w:bottom w:val="single" w:color="auto" w:sz="4" w:space="0"/>
              <w:right w:val="single" w:color="auto" w:sz="4" w:space="0"/>
            </w:tcBorders>
            <w:shd w:val="clear" w:color="auto" w:fill="auto"/>
            <w:vAlign w:val="center"/>
          </w:tcPr>
          <w:p>
            <w:pPr>
              <w:pStyle w:val="27"/>
              <w:spacing w:line="300" w:lineRule="exact"/>
              <w:jc w:val="center"/>
              <w:rPr>
                <w:rFonts w:eastAsia="仿宋"/>
              </w:rPr>
            </w:pPr>
            <w:r>
              <w:rPr>
                <w:rFonts w:eastAsia="仿宋"/>
              </w:rPr>
              <w:t>2120</w:t>
            </w:r>
          </w:p>
        </w:tc>
        <w:tc>
          <w:tcPr>
            <w:tcW w:w="1982" w:type="dxa"/>
            <w:tcBorders>
              <w:top w:val="nil"/>
              <w:left w:val="nil"/>
              <w:bottom w:val="single" w:color="auto" w:sz="4" w:space="0"/>
              <w:right w:val="single" w:color="auto" w:sz="4" w:space="0"/>
            </w:tcBorders>
            <w:shd w:val="clear" w:color="auto" w:fill="auto"/>
            <w:vAlign w:val="center"/>
          </w:tcPr>
          <w:p>
            <w:pPr>
              <w:pStyle w:val="27"/>
              <w:spacing w:line="300" w:lineRule="exact"/>
              <w:jc w:val="center"/>
              <w:rPr>
                <w:rFonts w:eastAsia="仿宋"/>
              </w:rPr>
            </w:pPr>
            <w:r>
              <w:rPr>
                <w:rFonts w:eastAsia="仿宋"/>
              </w:rPr>
              <w:t>60</w:t>
            </w:r>
          </w:p>
        </w:tc>
      </w:tr>
      <w:tr>
        <w:tblPrEx>
          <w:tblCellMar>
            <w:top w:w="0" w:type="dxa"/>
            <w:left w:w="108" w:type="dxa"/>
            <w:bottom w:w="0" w:type="dxa"/>
            <w:right w:w="108" w:type="dxa"/>
          </w:tblCellMar>
        </w:tblPrEx>
        <w:trPr>
          <w:trHeight w:val="270" w:hRule="atLeast"/>
          <w:jc w:val="center"/>
        </w:trPr>
        <w:tc>
          <w:tcPr>
            <w:tcW w:w="345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7"/>
              <w:spacing w:line="300" w:lineRule="exact"/>
              <w:jc w:val="center"/>
              <w:rPr>
                <w:rFonts w:ascii="仿宋" w:hAnsi="仿宋" w:eastAsia="仿宋"/>
              </w:rPr>
            </w:pPr>
            <w:r>
              <w:rPr>
                <w:rFonts w:hint="eastAsia" w:ascii="仿宋" w:hAnsi="仿宋" w:eastAsia="仿宋"/>
              </w:rPr>
              <w:t>合计</w:t>
            </w:r>
          </w:p>
        </w:tc>
        <w:tc>
          <w:tcPr>
            <w:tcW w:w="2126" w:type="dxa"/>
            <w:tcBorders>
              <w:top w:val="single" w:color="auto" w:sz="4" w:space="0"/>
              <w:left w:val="nil"/>
              <w:bottom w:val="single" w:color="auto" w:sz="4" w:space="0"/>
              <w:right w:val="single" w:color="auto" w:sz="4" w:space="0"/>
            </w:tcBorders>
            <w:shd w:val="clear" w:color="auto" w:fill="auto"/>
            <w:vAlign w:val="center"/>
          </w:tcPr>
          <w:p>
            <w:pPr>
              <w:pStyle w:val="27"/>
              <w:spacing w:line="300" w:lineRule="exact"/>
              <w:jc w:val="center"/>
              <w:rPr>
                <w:rFonts w:eastAsia="仿宋"/>
              </w:rPr>
            </w:pPr>
            <w:r>
              <w:rPr>
                <w:rFonts w:eastAsia="仿宋"/>
              </w:rPr>
              <w:t>425770</w:t>
            </w:r>
          </w:p>
        </w:tc>
        <w:tc>
          <w:tcPr>
            <w:tcW w:w="1982" w:type="dxa"/>
            <w:tcBorders>
              <w:top w:val="single" w:color="auto" w:sz="4" w:space="0"/>
              <w:left w:val="nil"/>
              <w:bottom w:val="single" w:color="auto" w:sz="4" w:space="0"/>
              <w:right w:val="single" w:color="auto" w:sz="4" w:space="0"/>
            </w:tcBorders>
            <w:shd w:val="clear" w:color="auto" w:fill="auto"/>
            <w:vAlign w:val="center"/>
          </w:tcPr>
          <w:p>
            <w:pPr>
              <w:pStyle w:val="27"/>
              <w:spacing w:line="300" w:lineRule="exact"/>
              <w:jc w:val="center"/>
              <w:rPr>
                <w:rFonts w:eastAsia="仿宋"/>
              </w:rPr>
            </w:pPr>
            <w:r>
              <w:rPr>
                <w:rFonts w:eastAsia="仿宋"/>
              </w:rPr>
              <w:t>6747200</w:t>
            </w:r>
          </w:p>
        </w:tc>
      </w:tr>
    </w:tbl>
    <w:p>
      <w:pPr>
        <w:spacing w:beforeLines="50"/>
        <w:ind w:firstLine="640" w:firstLineChars="200"/>
        <w:rPr>
          <w:rFonts w:ascii="Times New Roman" w:hAnsi="Times New Roman" w:eastAsia="仿宋_GB2312" w:cs="Times New Roman"/>
          <w:sz w:val="32"/>
          <w:szCs w:val="32"/>
        </w:rPr>
      </w:pPr>
      <w:r>
        <w:rPr>
          <w:rFonts w:hint="eastAsia" w:eastAsia="仿宋_GB2312"/>
          <w:sz w:val="32"/>
          <w:szCs w:val="32"/>
        </w:rPr>
        <w:t>为明确电动汽车实际充电负荷与总功率之间的关系，需综合考虑不同类型车辆的行驶规律及充电特性，基于各类车型充电规律将电动汽车充电负荷特性划分为三类：一是公交车、环卫车等采用固定行驶路线</w:t>
      </w:r>
      <w:r>
        <w:rPr>
          <w:rFonts w:ascii="Times New Roman" w:hAnsi="Times New Roman" w:eastAsia="仿宋_GB2312" w:cs="Times New Roman"/>
          <w:sz w:val="32"/>
          <w:szCs w:val="32"/>
        </w:rPr>
        <w:t>和运营时间的车辆，一般选在低谷时段集中充电，具有较高的充电同时率，接近0.7。二是私家车受驾驶者出行规律影响较大，充电时间及充电地点与公共营运车辆相比更为灵活、分散，具有较低的充电同时率，接近0.1。三是利用城市直流公用充电桩进行充电的出租车、网约出租车等盈利性运营车辆的充电频率远高于私家车，充电时间比公共营运车辆分散，所以其充电同时率应介于两者之间，接近0.25。</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经测算，在充分考虑各类型车辆不同充电特性的情况下，“十四五”电动汽车分时充电功率最大为13</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万千瓦。</w:t>
      </w:r>
    </w:p>
    <w:p>
      <w:pPr>
        <w:pStyle w:val="3"/>
        <w:spacing w:line="580" w:lineRule="exact"/>
        <w:ind w:firstLine="643"/>
      </w:pPr>
      <w:bookmarkStart w:id="51" w:name="_Toc7384"/>
      <w:bookmarkStart w:id="52" w:name="_Toc22453"/>
      <w:r>
        <w:rPr>
          <w:rFonts w:hint="eastAsia"/>
        </w:rPr>
        <w:t>四、充电设施发展目标</w:t>
      </w:r>
      <w:bookmarkEnd w:id="47"/>
      <w:bookmarkEnd w:id="51"/>
      <w:bookmarkEnd w:id="52"/>
      <w:bookmarkStart w:id="53" w:name="_Toc47622936"/>
    </w:p>
    <w:p>
      <w:pPr>
        <w:pStyle w:val="4"/>
        <w:spacing w:line="580" w:lineRule="exact"/>
        <w:ind w:firstLine="643"/>
      </w:pPr>
      <w:bookmarkStart w:id="54" w:name="_Toc16292"/>
      <w:bookmarkStart w:id="55" w:name="_Toc4510"/>
      <w:r>
        <w:rPr>
          <w:rFonts w:hint="eastAsia"/>
        </w:rPr>
        <w:t>（一）发展思路</w:t>
      </w:r>
      <w:bookmarkEnd w:id="54"/>
      <w:bookmarkEnd w:id="55"/>
    </w:p>
    <w:p>
      <w:pPr>
        <w:adjustRightInd w:val="0"/>
        <w:snapToGrid w:val="0"/>
        <w:spacing w:line="580" w:lineRule="exact"/>
        <w:ind w:firstLine="640" w:firstLineChars="200"/>
        <w:rPr>
          <w:rFonts w:eastAsia="仿宋_GB2312"/>
        </w:rPr>
      </w:pPr>
      <w:r>
        <w:rPr>
          <w:rFonts w:hint="eastAsia" w:ascii="Times New Roman" w:hAnsi="Times New Roman" w:eastAsia="仿宋_GB2312" w:cs="Times New Roman"/>
          <w:sz w:val="32"/>
          <w:szCs w:val="32"/>
        </w:rPr>
        <w:t>深入贯彻习近平新时代中国特色社会主义思想，落实国家关于加快新能源汽车发展的决策部署，深入践行“创新、协调、绿色、开放、共享”新发展理念，加强税收、土地、金融等方面政策支持力度，按照车桩相随、适度超前的原则，加快充换电基础设施建设，不断提升充电设施安全性、智能化、互联化技术水平，满足省内电动汽车便捷充电需求，推动电动汽车产业发展和消费升级，拓展充电产业上中下游产业链，带动新兴产业发展和产业结构转型升级，推动高质量发展。</w:t>
      </w:r>
    </w:p>
    <w:p>
      <w:pPr>
        <w:pStyle w:val="4"/>
        <w:spacing w:line="580" w:lineRule="exact"/>
        <w:ind w:firstLine="643"/>
      </w:pPr>
      <w:bookmarkStart w:id="56" w:name="_Toc20135"/>
      <w:bookmarkStart w:id="57" w:name="_Toc10998"/>
      <w:r>
        <w:rPr>
          <w:rFonts w:hint="eastAsia"/>
        </w:rPr>
        <w:t>（二）总体发展目标</w:t>
      </w:r>
      <w:bookmarkEnd w:id="53"/>
      <w:bookmarkEnd w:id="56"/>
      <w:bookmarkEnd w:id="57"/>
    </w:p>
    <w:p>
      <w:pPr>
        <w:adjustRightInd w:val="0"/>
        <w:snapToGrid w:val="0"/>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以促进新能源汽车推广应用为出发点，以提升电动汽车充电保障能力为目标，建设覆盖全省的布局合理、管理规范、智能高效的充电基础设施体系；“十四五”期间共建设各类充电桩</w:t>
      </w:r>
      <w:r>
        <w:rPr>
          <w:rFonts w:ascii="Times New Roman" w:hAnsi="Times New Roman" w:eastAsia="仿宋_GB2312" w:cs="Times New Roman"/>
          <w:sz w:val="32"/>
          <w:szCs w:val="32"/>
        </w:rPr>
        <w:t>35.</w:t>
      </w:r>
      <w:r>
        <w:rPr>
          <w:rFonts w:hint="eastAsia" w:ascii="Times New Roman" w:hAnsi="Times New Roman" w:eastAsia="仿宋_GB2312" w:cs="Times New Roman"/>
          <w:sz w:val="32"/>
          <w:szCs w:val="32"/>
        </w:rPr>
        <w:t>54万根，其中共建设充换电站</w:t>
      </w: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691座（含充电桩5.87万根、换电站20座）、个人及单位自用充电桩</w:t>
      </w:r>
      <w:r>
        <w:rPr>
          <w:rFonts w:ascii="Times New Roman" w:hAnsi="Times New Roman" w:eastAsia="仿宋_GB2312" w:cs="Times New Roman"/>
          <w:sz w:val="32"/>
          <w:szCs w:val="32"/>
        </w:rPr>
        <w:t>29.45</w:t>
      </w:r>
      <w:r>
        <w:rPr>
          <w:rFonts w:hint="eastAsia" w:ascii="Times New Roman" w:hAnsi="Times New Roman" w:eastAsia="仿宋_GB2312" w:cs="Times New Roman"/>
          <w:sz w:val="32"/>
          <w:szCs w:val="32"/>
        </w:rPr>
        <w:t>万根、乡村公用充电桩</w:t>
      </w:r>
      <w:r>
        <w:rPr>
          <w:rFonts w:ascii="Times New Roman" w:hAnsi="Times New Roman" w:eastAsia="仿宋_GB2312" w:cs="Times New Roman"/>
          <w:sz w:val="32"/>
          <w:szCs w:val="32"/>
        </w:rPr>
        <w:t>0.22</w:t>
      </w:r>
      <w:r>
        <w:rPr>
          <w:rFonts w:hint="eastAsia" w:ascii="Times New Roman" w:hAnsi="Times New Roman" w:eastAsia="仿宋_GB2312" w:cs="Times New Roman"/>
          <w:sz w:val="32"/>
          <w:szCs w:val="32"/>
        </w:rPr>
        <w:t>万根，满足省内至“十四五”末</w:t>
      </w:r>
      <w:r>
        <w:rPr>
          <w:rFonts w:ascii="Times New Roman" w:hAnsi="Times New Roman" w:eastAsia="仿宋_GB2312" w:cs="Times New Roman"/>
          <w:sz w:val="32"/>
          <w:szCs w:val="32"/>
        </w:rPr>
        <w:t>60</w:t>
      </w:r>
      <w:r>
        <w:rPr>
          <w:rFonts w:hint="eastAsia" w:ascii="Times New Roman" w:hAnsi="Times New Roman" w:eastAsia="仿宋_GB2312" w:cs="Times New Roman"/>
          <w:sz w:val="32"/>
          <w:szCs w:val="32"/>
        </w:rPr>
        <w:t>万辆电动汽车充电需求。</w:t>
      </w:r>
    </w:p>
    <w:p>
      <w:pPr>
        <w:adjustRightInd w:val="0"/>
        <w:snapToGrid w:val="0"/>
        <w:spacing w:line="580" w:lineRule="exact"/>
        <w:ind w:firstLine="643" w:firstLineChars="200"/>
        <w:rPr>
          <w:rFonts w:ascii="Times New Roman" w:hAnsi="Times New Roman" w:eastAsia="仿宋_GB2312" w:cs="Times New Roman"/>
          <w:sz w:val="32"/>
          <w:szCs w:val="32"/>
        </w:rPr>
      </w:pPr>
      <w:r>
        <w:rPr>
          <w:rFonts w:hint="eastAsia" w:ascii="Times New Roman" w:hAnsi="Times New Roman" w:eastAsia="仿宋_GB2312" w:cs="Times New Roman"/>
          <w:b/>
          <w:sz w:val="32"/>
          <w:szCs w:val="32"/>
        </w:rPr>
        <w:t>1.打造贯通乡村的城际出行充电网络。</w:t>
      </w:r>
      <w:r>
        <w:rPr>
          <w:rFonts w:hint="eastAsia" w:ascii="Times New Roman" w:hAnsi="Times New Roman" w:eastAsia="仿宋_GB2312" w:cs="Times New Roman"/>
          <w:sz w:val="32"/>
          <w:szCs w:val="32"/>
        </w:rPr>
        <w:t>结合国省道等公路沿线乡镇开展充电设施布局，逐步推进乡村地区公用充电设施建设，“十四五”期间建设</w:t>
      </w:r>
      <w:r>
        <w:rPr>
          <w:rFonts w:ascii="Times New Roman" w:hAnsi="Times New Roman" w:eastAsia="仿宋_GB2312" w:cs="Times New Roman"/>
          <w:sz w:val="32"/>
          <w:szCs w:val="32"/>
        </w:rPr>
        <w:t>996</w:t>
      </w:r>
      <w:r>
        <w:rPr>
          <w:rFonts w:hint="eastAsia" w:ascii="Times New Roman" w:hAnsi="Times New Roman" w:eastAsia="仿宋_GB2312" w:cs="Times New Roman"/>
          <w:sz w:val="32"/>
          <w:szCs w:val="32"/>
        </w:rPr>
        <w:t>座充电站（含充电桩约</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万根），力争覆盖省内全部乡镇；在关中地区村组建设公共充电桩</w:t>
      </w:r>
      <w:r>
        <w:rPr>
          <w:rFonts w:ascii="Times New Roman" w:hAnsi="Times New Roman" w:eastAsia="仿宋_GB2312" w:cs="Times New Roman"/>
          <w:sz w:val="32"/>
          <w:szCs w:val="32"/>
        </w:rPr>
        <w:t>0.22</w:t>
      </w:r>
      <w:r>
        <w:rPr>
          <w:rFonts w:hint="eastAsia" w:ascii="Times New Roman" w:hAnsi="Times New Roman" w:eastAsia="仿宋_GB2312" w:cs="Times New Roman"/>
          <w:sz w:val="32"/>
          <w:szCs w:val="32"/>
        </w:rPr>
        <w:t>万根，满足农村地区日益增加的充电需求，尤其是乡村旅游重点村组，助力实现乡村振兴。结合“十四五”省内公路建设情况，在高速新增服务区建设充电站</w:t>
      </w:r>
      <w:r>
        <w:rPr>
          <w:rFonts w:ascii="Times New Roman" w:hAnsi="Times New Roman" w:eastAsia="仿宋_GB2312" w:cs="Times New Roman"/>
          <w:sz w:val="32"/>
          <w:szCs w:val="32"/>
        </w:rPr>
        <w:t>12</w:t>
      </w:r>
      <w:r>
        <w:rPr>
          <w:rFonts w:hint="eastAsia" w:ascii="Times New Roman" w:hAnsi="Times New Roman" w:eastAsia="仿宋_GB2312" w:cs="Times New Roman"/>
          <w:sz w:val="32"/>
          <w:szCs w:val="32"/>
        </w:rPr>
        <w:t>座（含充电桩120根），保障电动汽车城际充电需求。</w:t>
      </w:r>
    </w:p>
    <w:p>
      <w:pPr>
        <w:pStyle w:val="2"/>
        <w:ind w:firstLine="643"/>
        <w:rPr>
          <w:rFonts w:eastAsia="仿宋_GB2312"/>
          <w:sz w:val="32"/>
          <w:szCs w:val="32"/>
        </w:rPr>
      </w:pPr>
      <w:r>
        <w:rPr>
          <w:rFonts w:hint="eastAsia" w:eastAsia="仿宋_GB2312"/>
          <w:b/>
          <w:sz w:val="32"/>
          <w:szCs w:val="32"/>
        </w:rPr>
        <w:t>2.打造方便快捷的城市公共充电网络。</w:t>
      </w:r>
      <w:r>
        <w:rPr>
          <w:rFonts w:hint="eastAsia" w:eastAsia="仿宋_GB2312"/>
          <w:sz w:val="32"/>
          <w:szCs w:val="32"/>
        </w:rPr>
        <w:t>在交通枢纽、大型文体设施、大型商场、医院、学校、公园、大型建筑物配建停车场、路内停车位等城市公共停车场所，建设城市公共充电站585座（按照每座充电站30根充电桩考虑，含充电桩1.75万根），主要满足市区出租、网约、物流等流动车辆充电需求，同时为其他车辆提供充电保障。</w:t>
      </w:r>
    </w:p>
    <w:p>
      <w:pPr>
        <w:pStyle w:val="2"/>
        <w:ind w:firstLine="643"/>
      </w:pPr>
      <w:r>
        <w:rPr>
          <w:rFonts w:hint="eastAsia" w:eastAsia="仿宋_GB2312"/>
          <w:b/>
          <w:sz w:val="32"/>
          <w:szCs w:val="32"/>
        </w:rPr>
        <w:t>3.打造绿色旅游充电网络。</w:t>
      </w:r>
      <w:r>
        <w:rPr>
          <w:rFonts w:hint="eastAsia" w:eastAsia="仿宋_GB2312"/>
          <w:sz w:val="32"/>
          <w:szCs w:val="32"/>
        </w:rPr>
        <w:t>建设覆盖省内4A级以上景点的公用充电网络，在城市公用充电网络建设的基础上，“十四五”期间建设100座绿色旅游充电站，含充电桩0.21万根，满足旅游出行需要。</w:t>
      </w:r>
    </w:p>
    <w:p>
      <w:pPr>
        <w:adjustRightInd w:val="0"/>
        <w:snapToGrid w:val="0"/>
        <w:spacing w:line="580" w:lineRule="exact"/>
        <w:ind w:firstLine="643" w:firstLineChars="200"/>
      </w:pPr>
      <w:r>
        <w:rPr>
          <w:rFonts w:hint="eastAsia" w:ascii="Times New Roman" w:hAnsi="Times New Roman" w:eastAsia="仿宋_GB2312" w:cs="Times New Roman"/>
          <w:b/>
          <w:sz w:val="32"/>
          <w:szCs w:val="32"/>
        </w:rPr>
        <w:t>4.打造覆盖广泛的居民充电网络。</w:t>
      </w:r>
      <w:r>
        <w:rPr>
          <w:rFonts w:hint="eastAsia" w:ascii="Times New Roman" w:hAnsi="Times New Roman" w:eastAsia="仿宋_GB2312" w:cs="Times New Roman"/>
          <w:sz w:val="32"/>
          <w:szCs w:val="32"/>
        </w:rPr>
        <w:t>推进用车个人在私人停车位建设自用充电桩，在公共机构、企事业单位等单位内部停车场建设公务车专用充电桩，并鼓励有条件的设施积极对外开放；“十四五”期间共建设个人及公务车充电桩</w:t>
      </w:r>
      <w:r>
        <w:rPr>
          <w:rFonts w:ascii="Times New Roman" w:hAnsi="Times New Roman" w:eastAsia="仿宋_GB2312" w:cs="Times New Roman"/>
          <w:sz w:val="32"/>
          <w:szCs w:val="32"/>
        </w:rPr>
        <w:t>29.</w:t>
      </w:r>
      <w:r>
        <w:rPr>
          <w:rFonts w:hint="eastAsia" w:ascii="Times New Roman" w:hAnsi="Times New Roman" w:eastAsia="仿宋_GB2312" w:cs="Times New Roman"/>
          <w:sz w:val="32"/>
          <w:szCs w:val="32"/>
        </w:rPr>
        <w:t>45万根，在小区及周边等处建设公共充电站</w:t>
      </w:r>
      <w:r>
        <w:rPr>
          <w:rFonts w:ascii="Times New Roman" w:hAnsi="Times New Roman" w:eastAsia="仿宋_GB2312" w:cs="Times New Roman"/>
          <w:sz w:val="32"/>
          <w:szCs w:val="32"/>
        </w:rPr>
        <w:t>747</w:t>
      </w:r>
      <w:r>
        <w:rPr>
          <w:rFonts w:hint="eastAsia" w:ascii="Times New Roman" w:hAnsi="Times New Roman" w:eastAsia="仿宋_GB2312" w:cs="Times New Roman"/>
          <w:sz w:val="32"/>
          <w:szCs w:val="32"/>
        </w:rPr>
        <w:t>座（按照每座充电站</w:t>
      </w:r>
      <w:r>
        <w:rPr>
          <w:rFonts w:ascii="Times New Roman" w:hAnsi="Times New Roman" w:eastAsia="仿宋_GB2312" w:cs="Times New Roman"/>
          <w:sz w:val="32"/>
          <w:szCs w:val="32"/>
        </w:rPr>
        <w:t>30</w:t>
      </w:r>
      <w:r>
        <w:rPr>
          <w:rFonts w:hint="eastAsia" w:ascii="Times New Roman" w:hAnsi="Times New Roman" w:eastAsia="仿宋_GB2312" w:cs="Times New Roman"/>
          <w:sz w:val="32"/>
          <w:szCs w:val="32"/>
        </w:rPr>
        <w:t>根充电桩考虑，含充电桩</w:t>
      </w:r>
      <w:r>
        <w:rPr>
          <w:rFonts w:ascii="Times New Roman" w:hAnsi="Times New Roman" w:eastAsia="仿宋_GB2312" w:cs="Times New Roman"/>
          <w:sz w:val="32"/>
          <w:szCs w:val="32"/>
        </w:rPr>
        <w:t>2.24</w:t>
      </w:r>
      <w:r>
        <w:rPr>
          <w:rFonts w:hint="eastAsia" w:ascii="Times New Roman" w:hAnsi="Times New Roman" w:eastAsia="仿宋_GB2312" w:cs="Times New Roman"/>
          <w:sz w:val="32"/>
          <w:szCs w:val="32"/>
        </w:rPr>
        <w:t>万根），主要满足无法安装自用充电桩的私人乘用车充电需求。</w:t>
      </w:r>
    </w:p>
    <w:p>
      <w:pPr>
        <w:adjustRightInd w:val="0"/>
        <w:snapToGrid w:val="0"/>
        <w:spacing w:line="580" w:lineRule="exact"/>
        <w:ind w:firstLine="643" w:firstLineChars="200"/>
        <w:rPr>
          <w:rFonts w:ascii="Times New Roman" w:hAnsi="Times New Roman" w:eastAsia="仿宋_GB2312" w:cs="Times New Roman"/>
          <w:sz w:val="32"/>
          <w:szCs w:val="32"/>
        </w:rPr>
      </w:pPr>
      <w:r>
        <w:rPr>
          <w:rFonts w:hint="eastAsia" w:ascii="Times New Roman" w:hAnsi="Times New Roman" w:eastAsia="仿宋_GB2312" w:cs="Times New Roman"/>
          <w:b/>
          <w:sz w:val="32"/>
          <w:szCs w:val="32"/>
        </w:rPr>
        <w:t>5.打造保障有力的专用充电网络。</w:t>
      </w:r>
      <w:r>
        <w:rPr>
          <w:rFonts w:hint="eastAsia" w:ascii="Times New Roman" w:hAnsi="Times New Roman" w:eastAsia="仿宋_GB2312" w:cs="Times New Roman"/>
          <w:sz w:val="32"/>
          <w:szCs w:val="32"/>
        </w:rPr>
        <w:t>结合公交、环卫、客运、机场、工程等专用车停车场所，建设公交专用充电站100座</w:t>
      </w:r>
      <w:r>
        <w:rPr>
          <w:rStyle w:val="24"/>
          <w:rFonts w:ascii="Times New Roman" w:hAnsi="Times New Roman" w:eastAsia="仿宋_GB2312" w:cs="Times New Roman"/>
          <w:sz w:val="32"/>
          <w:szCs w:val="32"/>
        </w:rPr>
        <w:footnoteReference w:id="16"/>
      </w:r>
      <w:r>
        <w:rPr>
          <w:rFonts w:hint="eastAsia" w:ascii="Times New Roman" w:hAnsi="Times New Roman" w:eastAsia="仿宋_GB2312" w:cs="Times New Roman"/>
          <w:sz w:val="32"/>
          <w:szCs w:val="32"/>
        </w:rPr>
        <w:t>（含充电桩0.35万根）、环卫专用充电站34座（含充电桩0.05万根）、客运车辆专用充电站57座（含充电桩0.2万根）、其他车辆专用充电站40座（含充电桩0.06万根）；建设换电站20座。</w:t>
      </w:r>
    </w:p>
    <w:p>
      <w:pPr>
        <w:pStyle w:val="4"/>
        <w:spacing w:line="580" w:lineRule="exact"/>
        <w:ind w:firstLine="643"/>
      </w:pPr>
      <w:bookmarkStart w:id="58" w:name="_Toc47622939"/>
      <w:bookmarkStart w:id="59" w:name="_Toc27984"/>
      <w:bookmarkStart w:id="60" w:name="_Toc31724"/>
      <w:r>
        <w:rPr>
          <w:rFonts w:hint="eastAsia"/>
        </w:rPr>
        <w:t>（三）分阶段发展目标</w:t>
      </w:r>
      <w:bookmarkEnd w:id="58"/>
      <w:bookmarkEnd w:id="59"/>
      <w:bookmarkEnd w:id="60"/>
    </w:p>
    <w:p>
      <w:pPr>
        <w:adjustRightInd w:val="0"/>
        <w:snapToGrid w:val="0"/>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根据电动汽车推广预期，按照充电设施配置原则，制定分阶段发展目标。</w:t>
      </w:r>
    </w:p>
    <w:p>
      <w:pPr>
        <w:adjustRightInd w:val="0"/>
        <w:snapToGrid w:val="0"/>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持续推广阶段（2021-2022年)：新建各类充电桩约9.16万根，与已有充电设施共同满足约24.2万辆新能源汽车的充电需求。</w:t>
      </w:r>
    </w:p>
    <w:p>
      <w:pPr>
        <w:adjustRightInd w:val="0"/>
        <w:snapToGrid w:val="0"/>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加速发展阶段（2023-2024年)：新建各类充电桩约16.10万根，与已有充电设施共同满足约46万辆新能源汽车的充电需求。</w:t>
      </w:r>
    </w:p>
    <w:p>
      <w:pPr>
        <w:adjustRightInd w:val="0"/>
        <w:snapToGrid w:val="0"/>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普遍应用阶段（2025年）：新建各类充电桩约10.28万根，与已有充电设施共同满足约60万辆新能源汽车的充电需求。</w:t>
      </w:r>
    </w:p>
    <w:p>
      <w:pPr>
        <w:pStyle w:val="26"/>
        <w:spacing w:beforeLines="50" w:line="580" w:lineRule="exact"/>
        <w:rPr>
          <w:rFonts w:eastAsia="仿宋_GB2312"/>
          <w:bCs/>
          <w:sz w:val="24"/>
          <w:szCs w:val="24"/>
        </w:rPr>
      </w:pPr>
      <w:bookmarkStart w:id="61" w:name="_Toc4161"/>
      <w:bookmarkStart w:id="62" w:name="_Toc25519"/>
      <w:r>
        <w:rPr>
          <w:rFonts w:hint="eastAsia" w:eastAsia="仿宋_GB2312"/>
          <w:bCs/>
          <w:sz w:val="24"/>
          <w:szCs w:val="24"/>
        </w:rPr>
        <w:t>表31  陕西省“十四五”充电设施规划逐年新增情况（单位：万根）</w:t>
      </w:r>
    </w:p>
    <w:tbl>
      <w:tblPr>
        <w:tblStyle w:val="17"/>
        <w:tblW w:w="77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86"/>
        <w:gridCol w:w="636"/>
        <w:gridCol w:w="636"/>
        <w:gridCol w:w="636"/>
        <w:gridCol w:w="636"/>
        <w:gridCol w:w="689"/>
        <w:gridCol w:w="6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3786" w:type="dxa"/>
            <w:shd w:val="clear" w:color="auto" w:fill="auto"/>
            <w:vAlign w:val="center"/>
          </w:tcPr>
          <w:p>
            <w:pPr>
              <w:pStyle w:val="27"/>
              <w:spacing w:line="300" w:lineRule="exact"/>
              <w:jc w:val="center"/>
              <w:rPr>
                <w:rFonts w:ascii="仿宋" w:hAnsi="仿宋" w:eastAsia="仿宋"/>
              </w:rPr>
            </w:pPr>
            <w:r>
              <w:rPr>
                <w:rFonts w:hint="eastAsia" w:ascii="仿宋" w:hAnsi="仿宋" w:eastAsia="仿宋"/>
              </w:rPr>
              <w:t>类型</w:t>
            </w:r>
          </w:p>
        </w:tc>
        <w:tc>
          <w:tcPr>
            <w:tcW w:w="636" w:type="dxa"/>
            <w:shd w:val="clear" w:color="auto" w:fill="auto"/>
            <w:vAlign w:val="center"/>
          </w:tcPr>
          <w:p>
            <w:pPr>
              <w:pStyle w:val="27"/>
              <w:spacing w:line="300" w:lineRule="exact"/>
              <w:jc w:val="center"/>
              <w:rPr>
                <w:sz w:val="18"/>
              </w:rPr>
            </w:pPr>
            <w:r>
              <w:t>2021</w:t>
            </w:r>
          </w:p>
        </w:tc>
        <w:tc>
          <w:tcPr>
            <w:tcW w:w="636" w:type="dxa"/>
            <w:shd w:val="clear" w:color="auto" w:fill="auto"/>
            <w:vAlign w:val="center"/>
          </w:tcPr>
          <w:p>
            <w:pPr>
              <w:pStyle w:val="27"/>
              <w:spacing w:line="300" w:lineRule="exact"/>
              <w:jc w:val="center"/>
              <w:rPr>
                <w:sz w:val="18"/>
              </w:rPr>
            </w:pPr>
            <w:r>
              <w:t>2022</w:t>
            </w:r>
          </w:p>
        </w:tc>
        <w:tc>
          <w:tcPr>
            <w:tcW w:w="636" w:type="dxa"/>
            <w:shd w:val="clear" w:color="auto" w:fill="auto"/>
            <w:vAlign w:val="center"/>
          </w:tcPr>
          <w:p>
            <w:pPr>
              <w:pStyle w:val="27"/>
              <w:spacing w:line="300" w:lineRule="exact"/>
              <w:jc w:val="center"/>
              <w:rPr>
                <w:sz w:val="18"/>
              </w:rPr>
            </w:pPr>
            <w:r>
              <w:t>2023</w:t>
            </w:r>
          </w:p>
        </w:tc>
        <w:tc>
          <w:tcPr>
            <w:tcW w:w="636" w:type="dxa"/>
            <w:shd w:val="clear" w:color="auto" w:fill="auto"/>
            <w:vAlign w:val="center"/>
          </w:tcPr>
          <w:p>
            <w:pPr>
              <w:pStyle w:val="27"/>
              <w:spacing w:line="300" w:lineRule="exact"/>
              <w:jc w:val="center"/>
              <w:rPr>
                <w:sz w:val="18"/>
              </w:rPr>
            </w:pPr>
            <w:r>
              <w:t>2024</w:t>
            </w:r>
          </w:p>
        </w:tc>
        <w:tc>
          <w:tcPr>
            <w:tcW w:w="689" w:type="dxa"/>
            <w:shd w:val="clear" w:color="auto" w:fill="auto"/>
            <w:vAlign w:val="center"/>
          </w:tcPr>
          <w:p>
            <w:pPr>
              <w:pStyle w:val="27"/>
              <w:spacing w:line="300" w:lineRule="exact"/>
              <w:jc w:val="center"/>
              <w:rPr>
                <w:sz w:val="18"/>
              </w:rPr>
            </w:pPr>
            <w:r>
              <w:t>2025</w:t>
            </w:r>
          </w:p>
        </w:tc>
        <w:tc>
          <w:tcPr>
            <w:tcW w:w="689" w:type="dxa"/>
            <w:shd w:val="clear" w:color="auto" w:fill="auto"/>
            <w:vAlign w:val="center"/>
          </w:tcPr>
          <w:p>
            <w:pPr>
              <w:pStyle w:val="27"/>
              <w:spacing w:line="300" w:lineRule="exact"/>
              <w:jc w:val="center"/>
              <w:rPr>
                <w:rFonts w:ascii="仿宋" w:hAnsi="仿宋" w:eastAsia="仿宋"/>
              </w:rPr>
            </w:pPr>
            <w:r>
              <w:rPr>
                <w:rFonts w:hint="eastAsia" w:ascii="仿宋" w:hAnsi="仿宋" w:eastAsia="仿宋"/>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3786" w:type="dxa"/>
            <w:shd w:val="clear" w:color="auto" w:fill="auto"/>
            <w:vAlign w:val="center"/>
          </w:tcPr>
          <w:p>
            <w:pPr>
              <w:pStyle w:val="27"/>
              <w:spacing w:line="300" w:lineRule="exact"/>
              <w:jc w:val="center"/>
              <w:rPr>
                <w:rFonts w:ascii="仿宋" w:hAnsi="仿宋" w:eastAsia="仿宋"/>
              </w:rPr>
            </w:pPr>
            <w:r>
              <w:rPr>
                <w:rFonts w:hint="eastAsia" w:ascii="仿宋" w:hAnsi="仿宋" w:eastAsia="仿宋"/>
              </w:rPr>
              <w:t>各年新建充电桩数量（均为单充电枪）</w:t>
            </w:r>
          </w:p>
        </w:tc>
        <w:tc>
          <w:tcPr>
            <w:tcW w:w="636" w:type="dxa"/>
            <w:shd w:val="clear" w:color="auto" w:fill="auto"/>
            <w:vAlign w:val="center"/>
          </w:tcPr>
          <w:p>
            <w:pPr>
              <w:pStyle w:val="27"/>
              <w:spacing w:line="300" w:lineRule="exact"/>
              <w:jc w:val="center"/>
            </w:pPr>
            <w:r>
              <w:t>3.</w:t>
            </w:r>
            <w:r>
              <w:rPr>
                <w:rFonts w:hint="eastAsia"/>
              </w:rPr>
              <w:t>79</w:t>
            </w:r>
          </w:p>
        </w:tc>
        <w:tc>
          <w:tcPr>
            <w:tcW w:w="636" w:type="dxa"/>
            <w:shd w:val="clear" w:color="auto" w:fill="auto"/>
            <w:vAlign w:val="center"/>
          </w:tcPr>
          <w:p>
            <w:pPr>
              <w:pStyle w:val="27"/>
              <w:spacing w:line="300" w:lineRule="exact"/>
              <w:jc w:val="center"/>
            </w:pPr>
            <w:r>
              <w:t>5.</w:t>
            </w:r>
            <w:r>
              <w:rPr>
                <w:rFonts w:hint="eastAsia"/>
              </w:rPr>
              <w:t>37</w:t>
            </w:r>
          </w:p>
        </w:tc>
        <w:tc>
          <w:tcPr>
            <w:tcW w:w="636" w:type="dxa"/>
            <w:shd w:val="clear" w:color="auto" w:fill="auto"/>
            <w:vAlign w:val="center"/>
          </w:tcPr>
          <w:p>
            <w:pPr>
              <w:pStyle w:val="27"/>
              <w:spacing w:line="300" w:lineRule="exact"/>
              <w:jc w:val="center"/>
            </w:pPr>
            <w:r>
              <w:t>7.1</w:t>
            </w:r>
            <w:r>
              <w:rPr>
                <w:rFonts w:hint="eastAsia"/>
              </w:rPr>
              <w:t>0</w:t>
            </w:r>
          </w:p>
        </w:tc>
        <w:tc>
          <w:tcPr>
            <w:tcW w:w="636" w:type="dxa"/>
            <w:shd w:val="clear" w:color="auto" w:fill="auto"/>
            <w:vAlign w:val="center"/>
          </w:tcPr>
          <w:p>
            <w:pPr>
              <w:pStyle w:val="27"/>
              <w:spacing w:line="300" w:lineRule="exact"/>
              <w:jc w:val="center"/>
            </w:pPr>
            <w:r>
              <w:t>9.0</w:t>
            </w:r>
            <w:r>
              <w:rPr>
                <w:rFonts w:hint="eastAsia"/>
              </w:rPr>
              <w:t>0</w:t>
            </w:r>
          </w:p>
        </w:tc>
        <w:tc>
          <w:tcPr>
            <w:tcW w:w="689" w:type="dxa"/>
            <w:shd w:val="clear" w:color="auto" w:fill="auto"/>
            <w:vAlign w:val="center"/>
          </w:tcPr>
          <w:p>
            <w:pPr>
              <w:pStyle w:val="27"/>
              <w:spacing w:line="300" w:lineRule="exact"/>
              <w:jc w:val="center"/>
            </w:pPr>
            <w:r>
              <w:t>10.</w:t>
            </w:r>
            <w:r>
              <w:rPr>
                <w:rFonts w:hint="eastAsia"/>
              </w:rPr>
              <w:t>28</w:t>
            </w:r>
          </w:p>
        </w:tc>
        <w:tc>
          <w:tcPr>
            <w:tcW w:w="689" w:type="dxa"/>
            <w:shd w:val="clear" w:color="auto" w:fill="auto"/>
            <w:vAlign w:val="center"/>
          </w:tcPr>
          <w:p>
            <w:pPr>
              <w:pStyle w:val="27"/>
              <w:spacing w:line="300" w:lineRule="exact"/>
              <w:jc w:val="center"/>
            </w:pPr>
            <w:r>
              <w:t>35.</w:t>
            </w:r>
            <w:r>
              <w:rPr>
                <w:rFonts w:hint="eastAsia"/>
              </w:rPr>
              <w:t>54</w:t>
            </w:r>
          </w:p>
        </w:tc>
      </w:tr>
    </w:tbl>
    <w:p>
      <w:pPr>
        <w:pStyle w:val="26"/>
        <w:spacing w:line="240" w:lineRule="auto"/>
        <w:ind w:firstLine="0"/>
        <w:rPr>
          <w:bCs/>
          <w:sz w:val="22"/>
          <w:szCs w:val="22"/>
        </w:rPr>
      </w:pPr>
    </w:p>
    <w:p>
      <w:pPr>
        <w:pStyle w:val="26"/>
        <w:spacing w:line="240" w:lineRule="auto"/>
        <w:ind w:firstLine="0"/>
        <w:rPr>
          <w:bCs/>
          <w:sz w:val="22"/>
          <w:szCs w:val="22"/>
        </w:rPr>
      </w:pPr>
      <w:r>
        <w:rPr>
          <w:bCs/>
          <w:sz w:val="22"/>
          <w:szCs w:val="22"/>
        </w:rPr>
        <w:drawing>
          <wp:inline distT="0" distB="0" distL="0" distR="0">
            <wp:extent cx="5040630" cy="2066925"/>
            <wp:effectExtent l="0" t="0" r="0" b="0"/>
            <wp:docPr id="60" name="图表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pPr>
        <w:pStyle w:val="26"/>
        <w:spacing w:afterLines="50" w:line="580" w:lineRule="exact"/>
        <w:rPr>
          <w:rFonts w:eastAsia="仿宋_GB2312"/>
          <w:bCs/>
          <w:sz w:val="24"/>
          <w:szCs w:val="24"/>
        </w:rPr>
      </w:pPr>
      <w:r>
        <w:rPr>
          <w:rFonts w:eastAsia="仿宋_GB2312"/>
          <w:bCs/>
          <w:sz w:val="24"/>
          <w:szCs w:val="24"/>
        </w:rPr>
        <w:t>图</w:t>
      </w:r>
      <w:r>
        <w:rPr>
          <w:rFonts w:hint="eastAsia" w:eastAsia="仿宋_GB2312"/>
          <w:bCs/>
          <w:sz w:val="24"/>
          <w:szCs w:val="24"/>
        </w:rPr>
        <w:t xml:space="preserve">25  </w:t>
      </w:r>
      <w:r>
        <w:rPr>
          <w:rFonts w:eastAsia="仿宋_GB2312"/>
          <w:bCs/>
          <w:sz w:val="24"/>
          <w:szCs w:val="24"/>
        </w:rPr>
        <w:t xml:space="preserve">陕西省“十四五”充电设施规划逐年新增情况（单位：万根） </w:t>
      </w:r>
    </w:p>
    <w:p>
      <w:pPr>
        <w:pStyle w:val="4"/>
        <w:spacing w:line="580" w:lineRule="exact"/>
        <w:ind w:firstLine="643"/>
      </w:pPr>
      <w:r>
        <w:rPr>
          <w:rFonts w:hint="eastAsia"/>
        </w:rPr>
        <w:t>（四）分区域发展目标</w:t>
      </w:r>
      <w:bookmarkEnd w:id="61"/>
      <w:bookmarkEnd w:id="62"/>
    </w:p>
    <w:p>
      <w:pPr>
        <w:pStyle w:val="5"/>
        <w:spacing w:line="580" w:lineRule="exact"/>
        <w:ind w:firstLine="643"/>
      </w:pPr>
      <w:r>
        <w:rPr>
          <w:rFonts w:hint="eastAsia"/>
        </w:rPr>
        <w:t>1.关中地区</w:t>
      </w:r>
    </w:p>
    <w:p>
      <w:pPr>
        <w:adjustRightInd w:val="0"/>
        <w:snapToGrid w:val="0"/>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关中地区包括西安、咸阳、宝鸡、渭南、铜川及杨凌示范区，是省内电动汽车重点推广使用区域，“十四五”期间共建设各类充电桩30.65万根，其中建设充换电站1829座（含充电桩4.58万根，其中乡镇公用充电站372座、景区公用充电站57座、换电站20座）、个人及单位自用充电桩25.85万根、村组公用充电桩0.22万根，满足区域内</w:t>
      </w:r>
      <w:r>
        <w:rPr>
          <w:rFonts w:ascii="Times New Roman" w:hAnsi="Times New Roman" w:eastAsia="仿宋_GB2312" w:cs="Times New Roman"/>
          <w:sz w:val="32"/>
          <w:szCs w:val="32"/>
        </w:rPr>
        <w:t>52.66</w:t>
      </w:r>
      <w:r>
        <w:rPr>
          <w:rFonts w:hint="eastAsia" w:ascii="Times New Roman" w:hAnsi="Times New Roman" w:eastAsia="仿宋_GB2312" w:cs="Times New Roman"/>
          <w:sz w:val="32"/>
          <w:szCs w:val="32"/>
        </w:rPr>
        <w:t>万辆电动汽车充电需求，推动区域内电动汽车迈向普遍应用阶段。</w:t>
      </w:r>
    </w:p>
    <w:p>
      <w:pPr>
        <w:pStyle w:val="5"/>
        <w:spacing w:line="580" w:lineRule="exact"/>
        <w:ind w:firstLine="643"/>
      </w:pPr>
      <w:r>
        <w:rPr>
          <w:rFonts w:hint="eastAsia"/>
        </w:rPr>
        <w:t>2.陕北地区</w:t>
      </w:r>
    </w:p>
    <w:p>
      <w:pPr>
        <w:adjustRightInd w:val="0"/>
        <w:snapToGrid w:val="0"/>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sz w:val="32"/>
          <w:szCs w:val="32"/>
        </w:rPr>
        <w:t>陕北地区包括榆林、延安两市</w:t>
      </w:r>
      <w:r>
        <w:rPr>
          <w:rFonts w:hint="eastAsia" w:ascii="Times New Roman" w:hAnsi="Times New Roman" w:eastAsia="仿宋_GB2312" w:cs="Times New Roman"/>
          <w:sz w:val="32"/>
          <w:szCs w:val="32"/>
        </w:rPr>
        <w:t>，是省内电动汽车示范推广使用区域，“十四五”期间共建设各类充电桩2.88万根，其中建设充电站381座（含充电桩0.62万根，其中乡镇公用充电站251座、景区公用充电站8座）、个人及单位自用充电桩2.26万根，满足区域内</w:t>
      </w:r>
      <w:r>
        <w:rPr>
          <w:rFonts w:ascii="Times New Roman" w:hAnsi="Times New Roman" w:eastAsia="仿宋_GB2312" w:cs="Times New Roman"/>
          <w:sz w:val="32"/>
          <w:szCs w:val="32"/>
        </w:rPr>
        <w:t>4.59</w:t>
      </w:r>
      <w:r>
        <w:rPr>
          <w:rFonts w:hint="eastAsia" w:ascii="Times New Roman" w:hAnsi="Times New Roman" w:eastAsia="仿宋_GB2312" w:cs="Times New Roman"/>
          <w:sz w:val="32"/>
          <w:szCs w:val="32"/>
        </w:rPr>
        <w:t>万辆电动汽车充电需求，促进区域内电动汽车推广应用。</w:t>
      </w:r>
    </w:p>
    <w:p>
      <w:pPr>
        <w:pStyle w:val="5"/>
        <w:spacing w:line="580" w:lineRule="exact"/>
        <w:ind w:firstLine="643"/>
      </w:pPr>
      <w:r>
        <w:rPr>
          <w:rFonts w:hint="eastAsia"/>
        </w:rPr>
        <w:t>3.陕南地区</w:t>
      </w:r>
    </w:p>
    <w:p>
      <w:pPr>
        <w:adjustRightInd w:val="0"/>
        <w:snapToGrid w:val="0"/>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sz w:val="32"/>
          <w:szCs w:val="32"/>
        </w:rPr>
        <w:t>陕南地区包括汉中、安康及商洛市</w:t>
      </w:r>
      <w:r>
        <w:rPr>
          <w:rFonts w:hint="eastAsia" w:ascii="Times New Roman" w:hAnsi="Times New Roman" w:eastAsia="仿宋_GB2312" w:cs="Times New Roman"/>
          <w:sz w:val="32"/>
          <w:szCs w:val="32"/>
        </w:rPr>
        <w:t>，是省内电动汽车示范推广使用区域，“十四五”期间共建设各类充电桩2.01万根，其中建设充电站481座（含充电桩0.67万根，其中乡镇公用充电站373座、景区公用充电站35座）、个人及单位自用充电桩1.34万根，满足区域内</w:t>
      </w:r>
      <w:r>
        <w:rPr>
          <w:rFonts w:ascii="Times New Roman" w:hAnsi="Times New Roman" w:eastAsia="仿宋_GB2312" w:cs="Times New Roman"/>
          <w:sz w:val="32"/>
          <w:szCs w:val="32"/>
        </w:rPr>
        <w:t>2.75</w:t>
      </w:r>
      <w:r>
        <w:rPr>
          <w:rFonts w:hint="eastAsia" w:ascii="Times New Roman" w:hAnsi="Times New Roman" w:eastAsia="仿宋_GB2312" w:cs="Times New Roman"/>
          <w:sz w:val="32"/>
          <w:szCs w:val="32"/>
        </w:rPr>
        <w:t>万辆电动汽车充电需求，促进区域内电动汽车推广应用。</w:t>
      </w:r>
    </w:p>
    <w:p>
      <w:pPr>
        <w:pStyle w:val="2"/>
      </w:pPr>
    </w:p>
    <w:p>
      <w:pPr>
        <w:pStyle w:val="26"/>
        <w:spacing w:line="240" w:lineRule="auto"/>
        <w:ind w:firstLine="0"/>
        <w:rPr>
          <w:bCs/>
          <w:sz w:val="22"/>
          <w:szCs w:val="22"/>
        </w:rPr>
      </w:pPr>
      <w:r>
        <w:rPr>
          <w:bCs/>
          <w:sz w:val="22"/>
          <w:szCs w:val="22"/>
        </w:rPr>
        <w:drawing>
          <wp:inline distT="0" distB="0" distL="0" distR="0">
            <wp:extent cx="4572000" cy="2743200"/>
            <wp:effectExtent l="0" t="0" r="0" b="0"/>
            <wp:docPr id="5"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pPr>
        <w:pStyle w:val="26"/>
        <w:spacing w:line="240" w:lineRule="auto"/>
        <w:rPr>
          <w:rFonts w:eastAsia="仿宋_GB2312"/>
          <w:bCs/>
          <w:sz w:val="24"/>
          <w:szCs w:val="24"/>
        </w:rPr>
      </w:pPr>
      <w:r>
        <w:rPr>
          <w:rFonts w:hint="eastAsia" w:eastAsia="仿宋_GB2312"/>
          <w:bCs/>
          <w:sz w:val="24"/>
          <w:szCs w:val="24"/>
        </w:rPr>
        <w:t xml:space="preserve">图26  </w:t>
      </w:r>
      <w:r>
        <w:rPr>
          <w:rFonts w:hint="eastAsia" w:eastAsia="仿宋_GB2312"/>
          <w:bCs/>
          <w:sz w:val="24"/>
          <w:szCs w:val="24"/>
          <w:lang w:eastAsia="zh-CN"/>
        </w:rPr>
        <w:t>“</w:t>
      </w:r>
      <w:r>
        <w:rPr>
          <w:rFonts w:hint="eastAsia" w:eastAsia="仿宋_GB2312"/>
          <w:bCs/>
          <w:sz w:val="24"/>
          <w:szCs w:val="24"/>
        </w:rPr>
        <w:t>十四五</w:t>
      </w:r>
      <w:r>
        <w:rPr>
          <w:rFonts w:hint="eastAsia" w:eastAsia="仿宋_GB2312"/>
          <w:bCs/>
          <w:sz w:val="24"/>
          <w:szCs w:val="24"/>
          <w:lang w:eastAsia="zh-CN"/>
        </w:rPr>
        <w:t>”</w:t>
      </w:r>
      <w:r>
        <w:rPr>
          <w:rFonts w:hint="eastAsia" w:eastAsia="仿宋_GB2312"/>
          <w:bCs/>
          <w:sz w:val="24"/>
          <w:szCs w:val="24"/>
        </w:rPr>
        <w:t>期间建设充电桩数量（万根）</w:t>
      </w:r>
    </w:p>
    <w:p>
      <w:pPr>
        <w:pStyle w:val="26"/>
        <w:spacing w:line="240" w:lineRule="auto"/>
        <w:ind w:firstLine="0"/>
        <w:rPr>
          <w:bCs/>
          <w:sz w:val="22"/>
          <w:szCs w:val="22"/>
        </w:rPr>
      </w:pPr>
      <w:r>
        <w:rPr>
          <w:bCs/>
          <w:sz w:val="22"/>
          <w:szCs w:val="22"/>
        </w:rPr>
        <w:drawing>
          <wp:inline distT="0" distB="0" distL="0" distR="0">
            <wp:extent cx="4030980" cy="1924050"/>
            <wp:effectExtent l="0" t="0" r="0" b="0"/>
            <wp:docPr id="62" name="图表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pPr>
        <w:pStyle w:val="26"/>
        <w:spacing w:afterLines="50" w:line="580" w:lineRule="exact"/>
        <w:rPr>
          <w:bCs/>
          <w:sz w:val="22"/>
          <w:szCs w:val="22"/>
        </w:rPr>
      </w:pPr>
      <w:r>
        <w:rPr>
          <w:rFonts w:eastAsia="仿宋_GB2312"/>
          <w:bCs/>
          <w:sz w:val="24"/>
          <w:szCs w:val="24"/>
        </w:rPr>
        <w:t>图</w:t>
      </w:r>
      <w:r>
        <w:rPr>
          <w:rFonts w:hint="eastAsia" w:eastAsia="仿宋_GB2312"/>
          <w:bCs/>
          <w:sz w:val="24"/>
          <w:szCs w:val="24"/>
        </w:rPr>
        <w:t xml:space="preserve">27  </w:t>
      </w:r>
      <w:r>
        <w:rPr>
          <w:rFonts w:hint="eastAsia" w:eastAsia="仿宋_GB2312"/>
          <w:bCs/>
          <w:sz w:val="24"/>
          <w:szCs w:val="24"/>
          <w:lang w:eastAsia="zh-CN"/>
        </w:rPr>
        <w:t>“</w:t>
      </w:r>
      <w:r>
        <w:rPr>
          <w:rFonts w:hint="eastAsia" w:eastAsia="仿宋_GB2312"/>
          <w:bCs/>
          <w:sz w:val="24"/>
          <w:szCs w:val="24"/>
        </w:rPr>
        <w:t>十四五</w:t>
      </w:r>
      <w:r>
        <w:rPr>
          <w:rFonts w:hint="eastAsia" w:eastAsia="仿宋_GB2312"/>
          <w:bCs/>
          <w:sz w:val="24"/>
          <w:szCs w:val="24"/>
          <w:lang w:eastAsia="zh-CN"/>
        </w:rPr>
        <w:t>”</w:t>
      </w:r>
      <w:bookmarkStart w:id="101" w:name="_GoBack"/>
      <w:bookmarkEnd w:id="101"/>
      <w:r>
        <w:rPr>
          <w:rFonts w:eastAsia="仿宋_GB2312"/>
          <w:bCs/>
          <w:sz w:val="24"/>
          <w:szCs w:val="24"/>
        </w:rPr>
        <w:t>期间建设充电站数量（座）</w:t>
      </w:r>
      <w:r>
        <w:rPr>
          <w:bCs/>
          <w:sz w:val="22"/>
          <w:szCs w:val="22"/>
        </w:rPr>
        <w:t xml:space="preserve"> </w:t>
      </w:r>
    </w:p>
    <w:p>
      <w:pPr>
        <w:pStyle w:val="2"/>
      </w:pPr>
    </w:p>
    <w:p>
      <w:pPr>
        <w:pStyle w:val="4"/>
        <w:spacing w:line="580" w:lineRule="exact"/>
        <w:ind w:firstLine="643"/>
      </w:pPr>
      <w:bookmarkStart w:id="63" w:name="_Toc18337"/>
      <w:bookmarkStart w:id="64" w:name="_Toc17575"/>
      <w:r>
        <w:rPr>
          <w:rFonts w:hint="eastAsia"/>
        </w:rPr>
        <w:t>（五）分类型发展目标</w:t>
      </w:r>
      <w:bookmarkEnd w:id="63"/>
      <w:bookmarkEnd w:id="64"/>
    </w:p>
    <w:p>
      <w:pPr>
        <w:pStyle w:val="2"/>
        <w:spacing w:line="580" w:lineRule="exact"/>
        <w:ind w:firstLine="640"/>
        <w:rPr>
          <w:rFonts w:eastAsia="仿宋_GB2312"/>
          <w:sz w:val="32"/>
          <w:szCs w:val="32"/>
        </w:rPr>
      </w:pPr>
      <w:r>
        <w:rPr>
          <w:rFonts w:hint="eastAsia" w:eastAsia="仿宋_GB2312"/>
          <w:sz w:val="32"/>
          <w:szCs w:val="32"/>
        </w:rPr>
        <w:t>“十四五”期间共规划建设直流快充桩（单枪充电功率</w:t>
      </w:r>
      <w:r>
        <w:rPr>
          <w:rFonts w:eastAsia="仿宋_GB2312"/>
          <w:sz w:val="32"/>
          <w:szCs w:val="32"/>
        </w:rPr>
        <w:t>60kW</w:t>
      </w:r>
      <w:r>
        <w:rPr>
          <w:rFonts w:hint="eastAsia" w:eastAsia="仿宋_GB2312"/>
          <w:sz w:val="32"/>
          <w:szCs w:val="32"/>
        </w:rPr>
        <w:t>）3.80万根，小功率直流充电桩</w:t>
      </w:r>
      <w:r>
        <w:rPr>
          <w:rFonts w:eastAsia="仿宋_GB2312"/>
          <w:sz w:val="32"/>
          <w:szCs w:val="32"/>
        </w:rPr>
        <w:t>2.</w:t>
      </w:r>
      <w:r>
        <w:rPr>
          <w:rFonts w:hint="eastAsia" w:eastAsia="仿宋_GB2312"/>
          <w:sz w:val="32"/>
          <w:szCs w:val="32"/>
        </w:rPr>
        <w:t>29万根（单枪充电功率</w:t>
      </w:r>
      <w:r>
        <w:rPr>
          <w:rFonts w:eastAsia="仿宋_GB2312"/>
          <w:sz w:val="32"/>
          <w:szCs w:val="32"/>
        </w:rPr>
        <w:t>20kW</w:t>
      </w:r>
      <w:r>
        <w:rPr>
          <w:rFonts w:hint="eastAsia" w:eastAsia="仿宋_GB2312"/>
          <w:sz w:val="32"/>
          <w:szCs w:val="32"/>
        </w:rPr>
        <w:t>），交流充电桩</w:t>
      </w:r>
      <w:r>
        <w:rPr>
          <w:rFonts w:eastAsia="仿宋_GB2312"/>
          <w:sz w:val="32"/>
          <w:szCs w:val="32"/>
        </w:rPr>
        <w:t>29.</w:t>
      </w:r>
      <w:r>
        <w:rPr>
          <w:rFonts w:hint="eastAsia" w:eastAsia="仿宋_GB2312"/>
          <w:sz w:val="32"/>
          <w:szCs w:val="32"/>
        </w:rPr>
        <w:t>45万根（单枪充电功率</w:t>
      </w:r>
      <w:r>
        <w:rPr>
          <w:rFonts w:eastAsia="仿宋_GB2312"/>
          <w:sz w:val="32"/>
          <w:szCs w:val="32"/>
        </w:rPr>
        <w:t>7kW</w:t>
      </w:r>
      <w:r>
        <w:rPr>
          <w:rFonts w:hint="eastAsia" w:eastAsia="仿宋_GB2312"/>
          <w:sz w:val="32"/>
          <w:szCs w:val="32"/>
        </w:rPr>
        <w:t>）。</w:t>
      </w:r>
    </w:p>
    <w:p>
      <w:pPr>
        <w:pStyle w:val="4"/>
        <w:spacing w:line="580" w:lineRule="exact"/>
        <w:ind w:firstLine="643"/>
      </w:pPr>
      <w:bookmarkStart w:id="65" w:name="_Toc19532"/>
      <w:bookmarkStart w:id="66" w:name="_Toc32314"/>
      <w:r>
        <w:rPr>
          <w:rFonts w:hint="eastAsia"/>
        </w:rPr>
        <w:t>（六）配套电网发展目标</w:t>
      </w:r>
      <w:bookmarkEnd w:id="65"/>
      <w:bookmarkEnd w:id="66"/>
    </w:p>
    <w:p>
      <w:pPr>
        <w:pStyle w:val="2"/>
        <w:spacing w:line="580" w:lineRule="exact"/>
        <w:ind w:firstLine="640"/>
        <w:rPr>
          <w:rFonts w:eastAsia="仿宋_GB2312"/>
          <w:sz w:val="32"/>
          <w:szCs w:val="32"/>
        </w:rPr>
      </w:pPr>
      <w:r>
        <w:rPr>
          <w:rFonts w:hint="eastAsia" w:eastAsia="仿宋_GB2312"/>
          <w:sz w:val="32"/>
          <w:szCs w:val="32"/>
        </w:rPr>
        <w:t>根据电动汽车用电需求预测，</w:t>
      </w:r>
      <w:r>
        <w:rPr>
          <w:rFonts w:eastAsia="仿宋_GB2312"/>
          <w:sz w:val="32"/>
          <w:szCs w:val="32"/>
        </w:rPr>
        <w:t>“十四五”期间陕西</w:t>
      </w:r>
      <w:r>
        <w:rPr>
          <w:rFonts w:hint="eastAsia" w:eastAsia="仿宋_GB2312"/>
          <w:sz w:val="32"/>
          <w:szCs w:val="32"/>
        </w:rPr>
        <w:t>省</w:t>
      </w:r>
      <w:r>
        <w:rPr>
          <w:rFonts w:eastAsia="仿宋_GB2312"/>
          <w:sz w:val="32"/>
          <w:szCs w:val="32"/>
        </w:rPr>
        <w:t>预计新增</w:t>
      </w:r>
      <w:r>
        <w:rPr>
          <w:rFonts w:hint="eastAsia" w:eastAsia="仿宋_GB2312"/>
          <w:sz w:val="32"/>
          <w:szCs w:val="32"/>
        </w:rPr>
        <w:t>电动汽车充电功率130万千瓦</w:t>
      </w:r>
      <w:r>
        <w:rPr>
          <w:rFonts w:eastAsia="仿宋_GB2312"/>
          <w:sz w:val="32"/>
          <w:szCs w:val="32"/>
        </w:rPr>
        <w:t>，</w:t>
      </w:r>
      <w:r>
        <w:rPr>
          <w:rFonts w:hint="eastAsia" w:eastAsia="仿宋_GB2312"/>
          <w:sz w:val="32"/>
          <w:szCs w:val="32"/>
        </w:rPr>
        <w:t>全省110kV容载比将由2.02降低为1.93，西安市110kV容载比将由1.76降低为1.64，</w:t>
      </w:r>
      <w:r>
        <w:rPr>
          <w:rFonts w:eastAsia="仿宋_GB2312"/>
          <w:sz w:val="32"/>
          <w:szCs w:val="32"/>
        </w:rPr>
        <w:t>遵循新修订的《配电网规划设计技术导则》，结合地区经济增长和社会发展阶段，110千伏容载比宜控制在1.7-1.9之间。</w:t>
      </w:r>
      <w:r>
        <w:rPr>
          <w:rFonts w:hint="eastAsia" w:eastAsia="仿宋_GB2312"/>
          <w:sz w:val="32"/>
          <w:szCs w:val="32"/>
        </w:rPr>
        <w:t>为控制西安市110kV容载比满足最低要求1.7，西安市“十四五”需针对电动汽车新增变电容量706.8MVA，按目前110kV变电站通用设计规模，应建设 5座110kV变电站。同时，根据目前配变容量规格及全省新增电动汽车充电负荷，陕西省需新增1250kVA的配变549台和630kVA的配变1089台。</w:t>
      </w:r>
    </w:p>
    <w:p>
      <w:pPr>
        <w:pStyle w:val="3"/>
        <w:spacing w:line="580" w:lineRule="exact"/>
        <w:ind w:firstLine="643"/>
      </w:pPr>
      <w:bookmarkStart w:id="67" w:name="_Toc47622940"/>
      <w:bookmarkStart w:id="68" w:name="_Toc26172"/>
      <w:bookmarkStart w:id="69" w:name="_Toc481"/>
      <w:r>
        <w:rPr>
          <w:rFonts w:hint="eastAsia"/>
        </w:rPr>
        <w:t>五、重点任务</w:t>
      </w:r>
      <w:bookmarkEnd w:id="67"/>
      <w:bookmarkEnd w:id="68"/>
      <w:bookmarkEnd w:id="69"/>
    </w:p>
    <w:p>
      <w:pPr>
        <w:pStyle w:val="2"/>
        <w:spacing w:line="580" w:lineRule="exact"/>
        <w:ind w:firstLine="640"/>
        <w:rPr>
          <w:rFonts w:eastAsia="仿宋_GB2312"/>
          <w:sz w:val="32"/>
          <w:szCs w:val="32"/>
        </w:rPr>
      </w:pPr>
      <w:r>
        <w:rPr>
          <w:rFonts w:hint="eastAsia" w:eastAsia="仿宋_GB2312"/>
          <w:sz w:val="32"/>
          <w:szCs w:val="32"/>
        </w:rPr>
        <w:t>“十四五”期间陕西省着力构建完善的充电设施网络体系，建设</w:t>
      </w:r>
      <w:r>
        <w:rPr>
          <w:rFonts w:hint="eastAsia" w:eastAsia="仿宋_GB2312"/>
          <w:b/>
          <w:sz w:val="32"/>
          <w:szCs w:val="32"/>
        </w:rPr>
        <w:t>贯通乡村的城际出行充电网络、方便快捷的城市公共充电网络、绿色旅游充电网络、覆盖广泛的居民充电网络、保障有力的专用充电网络</w:t>
      </w:r>
      <w:r>
        <w:rPr>
          <w:rFonts w:hint="eastAsia" w:eastAsia="仿宋_GB2312"/>
          <w:sz w:val="32"/>
          <w:szCs w:val="32"/>
        </w:rPr>
        <w:t>五大充电网络，基于省级智慧车联网平台</w:t>
      </w:r>
      <w:r>
        <w:rPr>
          <w:rFonts w:hint="eastAsia" w:ascii="仿宋" w:hAnsi="仿宋" w:eastAsia="仿宋" w:cs="仿宋"/>
          <w:b/>
          <w:sz w:val="32"/>
          <w:szCs w:val="32"/>
        </w:rPr>
        <w:t>打造全省充电设施</w:t>
      </w:r>
      <w:r>
        <w:rPr>
          <w:rFonts w:hint="eastAsia" w:ascii="仿宋_GB2312" w:hAnsi="仿宋_GB2312" w:eastAsia="仿宋_GB2312" w:cs="仿宋_GB2312"/>
          <w:b/>
          <w:sz w:val="32"/>
          <w:szCs w:val="32"/>
        </w:rPr>
        <w:t>“一张网”</w:t>
      </w:r>
      <w:r>
        <w:rPr>
          <w:rFonts w:hint="eastAsia" w:eastAsia="仿宋_GB2312"/>
          <w:sz w:val="32"/>
          <w:szCs w:val="32"/>
        </w:rPr>
        <w:t>，形成线上与线下深度有机融合的“5+1”立体充电网络体系，强化充电设施全链条安全管理，不断推动技术创新，全面提升我省充电设施发展水平，保障人民绿色出行需求，实现绿色低碳发展。</w:t>
      </w:r>
    </w:p>
    <w:p>
      <w:pPr>
        <w:pStyle w:val="4"/>
        <w:spacing w:line="580" w:lineRule="exact"/>
        <w:ind w:firstLine="643"/>
      </w:pPr>
      <w:bookmarkStart w:id="70" w:name="_Toc1979"/>
      <w:bookmarkStart w:id="71" w:name="_Toc13384"/>
      <w:r>
        <w:rPr>
          <w:rFonts w:hint="eastAsia"/>
        </w:rPr>
        <w:t>（一）构建完善的充电设施体系</w:t>
      </w:r>
      <w:bookmarkEnd w:id="70"/>
      <w:bookmarkEnd w:id="71"/>
    </w:p>
    <w:p>
      <w:pPr>
        <w:pStyle w:val="5"/>
        <w:spacing w:line="580" w:lineRule="exact"/>
        <w:ind w:firstLine="643"/>
      </w:pPr>
      <w:r>
        <w:rPr>
          <w:rFonts w:hint="eastAsia"/>
        </w:rPr>
        <w:t>1.建设贯通乡村的城际出行充电网络</w:t>
      </w:r>
    </w:p>
    <w:p>
      <w:pPr>
        <w:adjustRightInd w:val="0"/>
        <w:snapToGrid w:val="0"/>
        <w:spacing w:line="580" w:lineRule="exact"/>
        <w:ind w:firstLine="640" w:firstLineChars="200"/>
        <w:rPr>
          <w:rFonts w:eastAsia="仿宋_GB2312"/>
          <w:sz w:val="32"/>
          <w:szCs w:val="32"/>
        </w:rPr>
      </w:pPr>
      <w:r>
        <w:rPr>
          <w:rFonts w:hint="eastAsia" w:eastAsia="仿宋_GB2312"/>
          <w:sz w:val="32"/>
          <w:szCs w:val="32"/>
        </w:rPr>
        <w:t>依托省内高速公路服务区停车位配建充电设施，新建高速公路服务区建设不少于</w:t>
      </w:r>
      <w:r>
        <w:rPr>
          <w:rFonts w:ascii="Times New Roman" w:hAnsi="Times New Roman" w:eastAsia="仿宋_GB2312" w:cs="Times New Roman"/>
          <w:sz w:val="32"/>
          <w:szCs w:val="32"/>
        </w:rPr>
        <w:t>10</w:t>
      </w:r>
      <w:r>
        <w:rPr>
          <w:rFonts w:hint="eastAsia" w:eastAsia="仿宋_GB2312"/>
          <w:sz w:val="32"/>
          <w:szCs w:val="32"/>
        </w:rPr>
        <w:t>根快速充电桩或预留建设条件，相关要求纳入高速公路设计和验收条件。</w:t>
      </w:r>
    </w:p>
    <w:p>
      <w:pPr>
        <w:adjustRightInd w:val="0"/>
        <w:snapToGrid w:val="0"/>
        <w:spacing w:line="580" w:lineRule="exact"/>
        <w:ind w:firstLine="640" w:firstLineChars="200"/>
        <w:rPr>
          <w:rFonts w:eastAsia="仿宋_GB2312"/>
          <w:sz w:val="32"/>
          <w:szCs w:val="32"/>
        </w:rPr>
      </w:pPr>
      <w:r>
        <w:rPr>
          <w:rFonts w:hint="eastAsia" w:eastAsia="仿宋_GB2312"/>
          <w:sz w:val="32"/>
          <w:szCs w:val="32"/>
        </w:rPr>
        <w:t>加强宏观指导，通过财政补贴等方式，引导国道、省道等主干公路沿线乡镇充电设施建设，推进乡村公用充电设施建设，鼓励在乡镇和有充电需求或潜力的村组有序开展公共充电设施建设，助力乡村振兴，避免重复投资。</w:t>
      </w:r>
    </w:p>
    <w:p>
      <w:pPr>
        <w:adjustRightInd w:val="0"/>
        <w:snapToGrid w:val="0"/>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随着城市、乡村及城际等公用充电设施相继建设完善，陕西省将建成贯通乡村、覆盖全省的城际出行充电服务网络，满足电动汽车出行充电需求，保障畅行全省。</w:t>
      </w:r>
    </w:p>
    <w:p>
      <w:pPr>
        <w:pStyle w:val="5"/>
        <w:spacing w:line="580" w:lineRule="exact"/>
        <w:ind w:firstLine="643"/>
      </w:pPr>
      <w:r>
        <w:rPr>
          <w:rFonts w:hint="eastAsia"/>
        </w:rPr>
        <w:t>2.建设方便快捷的城市公共充电网络</w:t>
      </w:r>
    </w:p>
    <w:p>
      <w:pPr>
        <w:adjustRightInd w:val="0"/>
        <w:snapToGrid w:val="0"/>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充分发挥市场的基础调节作用，推动城市公用充电设施适度超前发展。对充电设施分布不均衡的区域，通过大数据分析、投资备案等措施，引导投资流向充电站布局密度不足的区域，防止充电设施过度集聚；对公用充电设施还未充分发展的区域，按照从城市中心区域到一般区域，从出租、网约、私人等类型电动汽车流量较大区域到较小区域的原则，逐步提升布点密度，兼顾充电便捷性与运营经济性，实现公用充电设施可持续发展。</w:t>
      </w:r>
    </w:p>
    <w:p>
      <w:pPr>
        <w:adjustRightInd w:val="0"/>
        <w:snapToGrid w:val="0"/>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优先结合交通枢纽、大型商业、办公园区、驻车换乘（P+R）、城市区域高架桥下等已有停车场地建设公用充电设施；适时推进大型立体式充电站（塔、楼）建设，结合服务、休闲等多层次需求建设充电商业综合体，缓解部分区域停车位紧张、充电桩落地难的问题。积极依托满足相关要求的加油加气站站址资源配建充电桩。</w:t>
      </w:r>
    </w:p>
    <w:p>
      <w:pPr>
        <w:adjustRightInd w:val="0"/>
        <w:snapToGrid w:val="0"/>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新建公共建筑物停车场、社会公共停车场、工业或物流园区停车场、公共文化娱乐场所停车场，按照不低于</w:t>
      </w:r>
      <w:r>
        <w:rPr>
          <w:rFonts w:ascii="Times New Roman" w:hAnsi="Times New Roman" w:eastAsia="仿宋_GB2312" w:cs="Times New Roman"/>
          <w:sz w:val="32"/>
          <w:szCs w:val="32"/>
        </w:rPr>
        <w:t>10%</w:t>
      </w:r>
      <w:r>
        <w:rPr>
          <w:rFonts w:hint="eastAsia" w:ascii="Times New Roman" w:hAnsi="Times New Roman" w:eastAsia="仿宋_GB2312" w:cs="Times New Roman"/>
          <w:sz w:val="32"/>
          <w:szCs w:val="32"/>
        </w:rPr>
        <w:t>的车位比例建设充电设施或预留建设安装条件，列入新建项目的规划条件。</w:t>
      </w:r>
    </w:p>
    <w:p>
      <w:pPr>
        <w:adjustRightInd w:val="0"/>
        <w:snapToGrid w:val="0"/>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加快单位内部充电设施建设，充分发挥党政机关、企事业单位、教育文化、团体组织等机构示范带头作用，结合单位公务电动汽车配备情况、职工充电需求，配建内部充电设施，并鼓励对外共享。鼓励工业园区、物流园区、高新技术产业园区等各类园区根据电动汽车应用情况，积极配建充电设施，并作为申报国家级和省级产业园区的优先条件。</w:t>
      </w:r>
    </w:p>
    <w:p>
      <w:pPr>
        <w:pStyle w:val="5"/>
        <w:spacing w:line="580" w:lineRule="exact"/>
        <w:ind w:firstLine="643"/>
      </w:pPr>
      <w:r>
        <w:rPr>
          <w:rFonts w:hint="eastAsia"/>
        </w:rPr>
        <w:t>3.建设绿色旅游充电网络</w:t>
      </w:r>
    </w:p>
    <w:p>
      <w:pPr>
        <w:adjustRightInd w:val="0"/>
        <w:snapToGrid w:val="0"/>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积极开展景区充电设施建设，结合各景点级别、旅游人次、充电需求等因素，逐步提升省内旅游景区充电设施覆盖率，“十四五”期间实现省内</w:t>
      </w:r>
      <w:r>
        <w:rPr>
          <w:rFonts w:ascii="Times New Roman" w:hAnsi="Times New Roman" w:eastAsia="仿宋_GB2312" w:cs="Times New Roman"/>
          <w:sz w:val="32"/>
          <w:szCs w:val="32"/>
        </w:rPr>
        <w:t>4A</w:t>
      </w:r>
      <w:r>
        <w:rPr>
          <w:rFonts w:hint="eastAsia" w:ascii="Times New Roman" w:hAnsi="Times New Roman" w:eastAsia="仿宋_GB2312" w:cs="Times New Roman"/>
          <w:sz w:val="32"/>
          <w:szCs w:val="32"/>
        </w:rPr>
        <w:t>级及以上重点旅游景区充电设施全覆盖，其他景区根据应结合客流量、充电需求配建充电设施。打造覆盖陕西全省重要景点的绿色旅游充电网络。</w:t>
      </w:r>
    </w:p>
    <w:p>
      <w:pPr>
        <w:pStyle w:val="5"/>
        <w:spacing w:line="580" w:lineRule="exact"/>
        <w:ind w:firstLine="643"/>
      </w:pPr>
      <w:r>
        <w:rPr>
          <w:rFonts w:hint="eastAsia"/>
        </w:rPr>
        <w:t>4.建设覆盖广泛的居民充电网络</w:t>
      </w:r>
    </w:p>
    <w:p>
      <w:pPr>
        <w:adjustRightInd w:val="0"/>
        <w:snapToGrid w:val="0"/>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关中地区新建住宅至少</w:t>
      </w:r>
      <w:r>
        <w:rPr>
          <w:rFonts w:ascii="Times New Roman" w:hAnsi="Times New Roman" w:eastAsia="仿宋_GB2312" w:cs="Times New Roman"/>
          <w:sz w:val="32"/>
          <w:szCs w:val="32"/>
        </w:rPr>
        <w:t>30%</w:t>
      </w:r>
      <w:r>
        <w:rPr>
          <w:rFonts w:hint="eastAsia" w:ascii="Times New Roman" w:hAnsi="Times New Roman" w:eastAsia="仿宋_GB2312" w:cs="Times New Roman"/>
          <w:sz w:val="32"/>
          <w:szCs w:val="32"/>
        </w:rPr>
        <w:t>停车位建成充电设施，陕南、陕北地区新建住宅至少</w:t>
      </w:r>
      <w:r>
        <w:rPr>
          <w:rFonts w:ascii="Times New Roman" w:hAnsi="Times New Roman" w:eastAsia="仿宋_GB2312" w:cs="Times New Roman"/>
          <w:sz w:val="32"/>
          <w:szCs w:val="32"/>
        </w:rPr>
        <w:t>10%</w:t>
      </w:r>
      <w:r>
        <w:rPr>
          <w:rFonts w:hint="eastAsia" w:ascii="Times New Roman" w:hAnsi="Times New Roman" w:eastAsia="仿宋_GB2312" w:cs="Times New Roman"/>
          <w:sz w:val="32"/>
          <w:szCs w:val="32"/>
        </w:rPr>
        <w:t>停车位建成充电设施，其余车位应预留安装条件（预留用电容量）。推动居民小区公共充电设施建设，以需求为导向，在现有小区内部或者周边建设公用充电设施。</w:t>
      </w:r>
    </w:p>
    <w:p>
      <w:pPr>
        <w:pStyle w:val="5"/>
        <w:spacing w:line="580" w:lineRule="exact"/>
        <w:ind w:firstLine="643"/>
      </w:pPr>
      <w:r>
        <w:rPr>
          <w:rFonts w:hint="eastAsia"/>
        </w:rPr>
        <w:t>5.建设保障有力的专用充电网络</w:t>
      </w:r>
    </w:p>
    <w:p>
      <w:pPr>
        <w:pStyle w:val="2"/>
        <w:adjustRightInd w:val="0"/>
        <w:snapToGrid w:val="0"/>
        <w:spacing w:line="580" w:lineRule="exact"/>
        <w:ind w:firstLine="640"/>
        <w:rPr>
          <w:rFonts w:eastAsia="仿宋_GB2312"/>
          <w:sz w:val="32"/>
          <w:szCs w:val="32"/>
        </w:rPr>
      </w:pPr>
      <w:r>
        <w:rPr>
          <w:rFonts w:hint="eastAsia" w:eastAsia="仿宋_GB2312"/>
          <w:sz w:val="32"/>
          <w:szCs w:val="32"/>
        </w:rPr>
        <w:t>公交、客运、环卫、机场通勤等定点定线运行公共服务领域，应根据逐年车辆充电需求，优先在停靠场站配建充电设施，适时在运行沿线补建充电设施。出租、物流、网约、租赁等流动运行公共服务领域，在以城市公共充电设施为基础的条件下，充分挖掘自有场地资源配建充电设施，提升充电保障能力。鼓励各类专用充电设施在满足自有车辆充电需求的前提下积极开放共享，重点推动公交专用充电站分时段对外开放。</w:t>
      </w:r>
    </w:p>
    <w:p>
      <w:pPr>
        <w:pStyle w:val="5"/>
        <w:spacing w:line="580" w:lineRule="exact"/>
        <w:ind w:firstLine="643"/>
      </w:pPr>
      <w:r>
        <w:rPr>
          <w:rFonts w:hint="eastAsia"/>
        </w:rPr>
        <w:t>6.探索充换电一体站建设</w:t>
      </w:r>
    </w:p>
    <w:p>
      <w:pPr>
        <w:pStyle w:val="2"/>
        <w:adjustRightInd w:val="0"/>
        <w:snapToGrid w:val="0"/>
        <w:spacing w:line="580" w:lineRule="exact"/>
        <w:ind w:firstLine="640"/>
        <w:rPr>
          <w:rFonts w:eastAsia="仿宋_GB2312"/>
          <w:sz w:val="32"/>
          <w:szCs w:val="32"/>
        </w:rPr>
      </w:pPr>
      <w:r>
        <w:rPr>
          <w:rFonts w:hint="eastAsia" w:eastAsia="仿宋_GB2312"/>
          <w:sz w:val="32"/>
          <w:szCs w:val="32"/>
        </w:rPr>
        <w:t>搅拌车、渣土车等车型运营时间、区域较为固定，采用电动汽车运营成本较低，以换电方式能大幅降低车辆购置成本，节约充电时间，较为适宜开展换电模式探索，应结合车辆推广情况试点在县域或郊区开展充换电一体站建设。</w:t>
      </w:r>
    </w:p>
    <w:p>
      <w:pPr>
        <w:pStyle w:val="4"/>
        <w:spacing w:line="580" w:lineRule="exact"/>
        <w:ind w:firstLine="643"/>
      </w:pPr>
      <w:bookmarkStart w:id="72" w:name="_Toc31613"/>
      <w:bookmarkStart w:id="73" w:name="_Toc7658"/>
      <w:r>
        <w:rPr>
          <w:rFonts w:hint="eastAsia"/>
        </w:rPr>
        <w:t>（二）推动居民区充电设施建设落地</w:t>
      </w:r>
      <w:bookmarkEnd w:id="72"/>
      <w:bookmarkEnd w:id="73"/>
    </w:p>
    <w:p>
      <w:pPr>
        <w:pStyle w:val="2"/>
        <w:adjustRightInd w:val="0"/>
        <w:snapToGrid w:val="0"/>
        <w:spacing w:line="580" w:lineRule="exact"/>
        <w:ind w:firstLine="640"/>
        <w:rPr>
          <w:rFonts w:eastAsia="仿宋_GB2312"/>
          <w:sz w:val="32"/>
          <w:szCs w:val="32"/>
        </w:rPr>
      </w:pPr>
      <w:r>
        <w:rPr>
          <w:rFonts w:hint="eastAsia" w:eastAsia="仿宋_GB2312"/>
          <w:sz w:val="32"/>
          <w:szCs w:val="32"/>
        </w:rPr>
        <w:t>进一步完善配套政策，推动全省新建或改扩建住宅小区在核发规划条件、建设工程规划许可证等相关规划许可证时，严格落实配建停车位充电相关设施建设或预留要求，并将充电设施配建情况纳入整体工程验收范围。</w:t>
      </w:r>
    </w:p>
    <w:p>
      <w:pPr>
        <w:pStyle w:val="2"/>
        <w:adjustRightInd w:val="0"/>
        <w:snapToGrid w:val="0"/>
        <w:spacing w:line="580" w:lineRule="exact"/>
        <w:ind w:firstLine="640"/>
        <w:rPr>
          <w:rFonts w:eastAsia="仿宋_GB2312"/>
          <w:sz w:val="32"/>
          <w:szCs w:val="32"/>
        </w:rPr>
      </w:pPr>
      <w:r>
        <w:rPr>
          <w:rFonts w:hint="eastAsia" w:eastAsia="仿宋_GB2312"/>
          <w:sz w:val="32"/>
          <w:szCs w:val="32"/>
        </w:rPr>
        <w:t>鼓励在个人自有停车位建设充电桩，小区物业应积极配合并提供施工便利；老旧小区电力改造应同步考虑小区内电动汽车充电需求，合理预留变电容量，同时综合运用引导电动汽车低谷充电、推广有序充电、小区配变增容等手段，解决老旧居民区存在电力容量不够问题；支持个人充电设施对外共享开放。</w:t>
      </w:r>
    </w:p>
    <w:p>
      <w:pPr>
        <w:pStyle w:val="2"/>
        <w:adjustRightInd w:val="0"/>
        <w:snapToGrid w:val="0"/>
        <w:spacing w:line="580" w:lineRule="exact"/>
        <w:ind w:firstLine="640"/>
        <w:rPr>
          <w:rFonts w:eastAsia="仿宋_GB2312"/>
          <w:sz w:val="32"/>
          <w:szCs w:val="32"/>
        </w:rPr>
      </w:pPr>
      <w:r>
        <w:rPr>
          <w:rFonts w:hint="eastAsia" w:eastAsia="仿宋_GB2312"/>
          <w:sz w:val="32"/>
          <w:szCs w:val="32"/>
        </w:rPr>
        <w:t>鼓励老旧小区探索多车一桩、临近车位共享等模式。鼓励小区物业、充电设施运营企业等相关方整合小区公共或私人停车资源，建设主要面向小区内电动汽车的共享轮充充电设施。</w:t>
      </w:r>
    </w:p>
    <w:p>
      <w:pPr>
        <w:pStyle w:val="4"/>
        <w:spacing w:line="580" w:lineRule="exact"/>
        <w:ind w:firstLine="643"/>
      </w:pPr>
      <w:bookmarkStart w:id="74" w:name="_Toc5525"/>
      <w:bookmarkStart w:id="75" w:name="_Toc17151"/>
      <w:r>
        <w:rPr>
          <w:rFonts w:hint="eastAsia"/>
        </w:rPr>
        <w:t>（三）打造全省充电设施“一张网”</w:t>
      </w:r>
      <w:bookmarkEnd w:id="74"/>
      <w:bookmarkEnd w:id="75"/>
    </w:p>
    <w:p>
      <w:pPr>
        <w:pStyle w:val="2"/>
        <w:adjustRightInd w:val="0"/>
        <w:snapToGrid w:val="0"/>
        <w:spacing w:line="580" w:lineRule="exact"/>
        <w:ind w:firstLine="640"/>
        <w:rPr>
          <w:rFonts w:eastAsia="仿宋_GB2312"/>
          <w:sz w:val="32"/>
          <w:szCs w:val="32"/>
        </w:rPr>
      </w:pPr>
      <w:r>
        <w:rPr>
          <w:rFonts w:hint="eastAsia" w:eastAsia="仿宋_GB2312"/>
          <w:sz w:val="32"/>
          <w:szCs w:val="32"/>
        </w:rPr>
        <w:t>持续依托唯一省级充电设施政府管理平台—陕西智慧车联网平台，推进全省公用、专用充电设施统一接入，鼓励个人自用充电设施逐步接入，汇聚全省充电设施及行业信息，</w:t>
      </w:r>
      <w:r>
        <w:rPr>
          <w:rFonts w:hint="eastAsia" w:ascii="仿宋" w:hAnsi="仿宋" w:eastAsia="仿宋" w:cs="仿宋"/>
          <w:sz w:val="32"/>
          <w:szCs w:val="32"/>
        </w:rPr>
        <w:t>打造全省充电设施</w:t>
      </w:r>
      <w:r>
        <w:rPr>
          <w:rFonts w:hint="eastAsia" w:ascii="仿宋_GB2312" w:hAnsi="仿宋_GB2312" w:eastAsia="仿宋_GB2312" w:cs="仿宋_GB2312"/>
          <w:sz w:val="32"/>
          <w:szCs w:val="32"/>
        </w:rPr>
        <w:t>“一张网”，</w:t>
      </w:r>
      <w:r>
        <w:rPr>
          <w:rFonts w:hint="eastAsia" w:eastAsia="仿宋_GB2312"/>
          <w:sz w:val="32"/>
          <w:szCs w:val="32"/>
        </w:rPr>
        <w:t>实现一平台畅行三秦大地。引导不同充电运营服务平台提升信息互联互通深度和广度，提升充电结算等便利程度，为充电用户提供更好的充电服务。</w:t>
      </w:r>
    </w:p>
    <w:p>
      <w:pPr>
        <w:pStyle w:val="2"/>
        <w:adjustRightInd w:val="0"/>
        <w:snapToGrid w:val="0"/>
        <w:spacing w:line="580" w:lineRule="exact"/>
        <w:ind w:firstLine="640"/>
        <w:rPr>
          <w:rFonts w:eastAsia="仿宋_GB2312"/>
          <w:sz w:val="32"/>
          <w:szCs w:val="32"/>
        </w:rPr>
      </w:pPr>
      <w:r>
        <w:rPr>
          <w:rFonts w:hint="eastAsia" w:eastAsia="仿宋_GB2312"/>
          <w:sz w:val="32"/>
          <w:szCs w:val="32"/>
        </w:rPr>
        <w:t>加强对省级智慧车联网平台运营管理，强化平台经营公益属性，引导省级平台最大限度将政府优惠政策落实到充电设施使用者身上。完善省级平台功能，推动与交通、能源等平台的互联互通，不断提升省级平台补贴申领统计、市县充电设施管理等功能，支撑省内各市统一免费使用陕西智慧车联平台，不再单独建设市级平台，降低建设成本，</w:t>
      </w:r>
      <w:r>
        <w:rPr>
          <w:rFonts w:hint="eastAsia" w:ascii="华文仿宋" w:hAnsi="华文仿宋" w:eastAsia="华文仿宋" w:cs="华文仿宋"/>
          <w:sz w:val="32"/>
          <w:szCs w:val="32"/>
        </w:rPr>
        <w:t>各地市做好属地化平台推广应用，</w:t>
      </w:r>
      <w:r>
        <w:rPr>
          <w:rFonts w:hint="eastAsia" w:ascii="仿宋" w:hAnsi="仿宋" w:eastAsia="仿宋" w:cs="仿宋"/>
          <w:sz w:val="32"/>
          <w:szCs w:val="32"/>
        </w:rPr>
        <w:t>全力配合打造全省充电设施</w:t>
      </w:r>
      <w:r>
        <w:rPr>
          <w:rFonts w:hint="eastAsia" w:ascii="仿宋_GB2312" w:hAnsi="仿宋_GB2312" w:eastAsia="仿宋_GB2312" w:cs="仿宋_GB2312"/>
          <w:sz w:val="32"/>
          <w:szCs w:val="32"/>
        </w:rPr>
        <w:t>“一张网”</w:t>
      </w:r>
      <w:r>
        <w:rPr>
          <w:rFonts w:hint="eastAsia" w:ascii="仿宋" w:hAnsi="仿宋" w:eastAsia="仿宋" w:cs="仿宋"/>
          <w:szCs w:val="32"/>
        </w:rPr>
        <w:t>。</w:t>
      </w:r>
      <w:r>
        <w:rPr>
          <w:rFonts w:hint="eastAsia" w:eastAsia="仿宋_GB2312"/>
          <w:sz w:val="32"/>
          <w:szCs w:val="32"/>
        </w:rPr>
        <w:t>推进已建设的市级平台与省级充电服务平台数据融合。开展有序充电、电力交易、与电网互动、充电站辅助规划选址等信息服务，将充电设施平台打造成车辆与外部电网等开展互动，实现</w:t>
      </w:r>
      <w:r>
        <w:rPr>
          <w:rFonts w:eastAsia="仿宋_GB2312"/>
          <w:sz w:val="32"/>
          <w:szCs w:val="32"/>
        </w:rPr>
        <w:t>V2X</w:t>
      </w:r>
      <w:r>
        <w:rPr>
          <w:rFonts w:hint="eastAsia" w:eastAsia="仿宋_GB2312"/>
          <w:sz w:val="32"/>
          <w:szCs w:val="32"/>
        </w:rPr>
        <w:t>的数据桥梁。</w:t>
      </w:r>
    </w:p>
    <w:p>
      <w:pPr>
        <w:pStyle w:val="2"/>
        <w:adjustRightInd w:val="0"/>
        <w:snapToGrid w:val="0"/>
        <w:spacing w:line="580" w:lineRule="exact"/>
        <w:ind w:firstLine="640"/>
        <w:rPr>
          <w:rFonts w:eastAsia="仿宋_GB2312"/>
          <w:sz w:val="32"/>
          <w:szCs w:val="32"/>
        </w:rPr>
      </w:pPr>
      <w:r>
        <w:rPr>
          <w:rFonts w:hint="eastAsia" w:eastAsia="仿宋_GB2312"/>
          <w:sz w:val="32"/>
          <w:szCs w:val="32"/>
        </w:rPr>
        <w:t>结合全省充电设施线上“一张网”，贯通线下“五张网”，形成线上与线下深度有机融合的“5+1”立体充电网络体系，为政府监管、充电设施相关企业运营和电动汽车客户使用提供全面的信息服务，服务充电用户和行业上下游企业。</w:t>
      </w:r>
    </w:p>
    <w:p>
      <w:pPr>
        <w:pStyle w:val="4"/>
        <w:spacing w:line="580" w:lineRule="exact"/>
        <w:ind w:firstLine="643"/>
      </w:pPr>
      <w:bookmarkStart w:id="76" w:name="_Toc16775"/>
      <w:bookmarkStart w:id="77" w:name="_Toc11168"/>
      <w:r>
        <w:rPr>
          <w:rFonts w:hint="eastAsia"/>
        </w:rPr>
        <w:t>（四）</w:t>
      </w:r>
      <w:bookmarkStart w:id="78" w:name="_Toc47622941"/>
      <w:r>
        <w:rPr>
          <w:rFonts w:hint="eastAsia"/>
        </w:rPr>
        <w:t>加强充电设施全链条安全管理</w:t>
      </w:r>
      <w:bookmarkEnd w:id="76"/>
      <w:bookmarkEnd w:id="77"/>
    </w:p>
    <w:p>
      <w:pPr>
        <w:pStyle w:val="2"/>
        <w:ind w:firstLine="640"/>
        <w:rPr>
          <w:rFonts w:eastAsia="仿宋_GB2312"/>
          <w:sz w:val="32"/>
          <w:szCs w:val="32"/>
        </w:rPr>
      </w:pPr>
      <w:r>
        <w:rPr>
          <w:rFonts w:hint="eastAsia" w:eastAsia="仿宋_GB2312"/>
          <w:sz w:val="32"/>
          <w:szCs w:val="32"/>
        </w:rPr>
        <w:t>强化充电设施安全管理，落实充电设施建设使用各环节安全责任，提升建设、运维、使用各环节人员安全意识，杜绝安全隐患。</w:t>
      </w:r>
      <w:bookmarkEnd w:id="78"/>
    </w:p>
    <w:p>
      <w:pPr>
        <w:pStyle w:val="2"/>
        <w:ind w:firstLine="640"/>
        <w:rPr>
          <w:rFonts w:eastAsia="仿宋_GB2312"/>
          <w:sz w:val="32"/>
          <w:szCs w:val="32"/>
        </w:rPr>
      </w:pPr>
      <w:r>
        <w:rPr>
          <w:rFonts w:hint="eastAsia" w:eastAsia="仿宋_GB2312"/>
          <w:sz w:val="32"/>
          <w:szCs w:val="32"/>
        </w:rPr>
        <w:t>严格执行国家及行业充电设施有关标准，强化充电设施设备准入管理，制定充电设施安全检测地方标准，确保充电设施质量优良、使用便捷。</w:t>
      </w:r>
    </w:p>
    <w:p>
      <w:pPr>
        <w:pStyle w:val="2"/>
        <w:ind w:firstLine="640"/>
        <w:rPr>
          <w:rFonts w:eastAsia="仿宋_GB2312"/>
          <w:sz w:val="32"/>
          <w:szCs w:val="32"/>
        </w:rPr>
      </w:pPr>
      <w:r>
        <w:rPr>
          <w:rFonts w:hint="eastAsia" w:eastAsia="仿宋_GB2312"/>
          <w:sz w:val="32"/>
          <w:szCs w:val="32"/>
        </w:rPr>
        <w:t>加快制定充电站典型设计方案，推进充电站建设标准化进程；制定充电站运营管理规范，推进公共充电站现场人员服务、辅助设施、场站环境等方面标准化建设；制定地方充电站及充电桩建设验收标准，重点制定居民区地下车库、立体充电站（塔、楼）、城市区域高架桥下等充电设施防火设计等规范，破解居民小区充电桩、城市公共充电设施等安装难题。</w:t>
      </w:r>
    </w:p>
    <w:p>
      <w:pPr>
        <w:pStyle w:val="2"/>
        <w:ind w:firstLine="640"/>
        <w:rPr>
          <w:rFonts w:eastAsia="仿宋_GB2312"/>
          <w:sz w:val="32"/>
          <w:szCs w:val="32"/>
        </w:rPr>
      </w:pPr>
      <w:r>
        <w:rPr>
          <w:rFonts w:eastAsia="仿宋_GB2312"/>
          <w:sz w:val="32"/>
          <w:szCs w:val="32"/>
        </w:rPr>
        <w:t>投资建设充（换）电设施项目实行备案制管理，</w:t>
      </w:r>
      <w:r>
        <w:rPr>
          <w:rFonts w:hint="eastAsia" w:eastAsia="仿宋_GB2312"/>
          <w:sz w:val="32"/>
          <w:szCs w:val="32"/>
        </w:rPr>
        <w:t>充电站</w:t>
      </w:r>
      <w:r>
        <w:rPr>
          <w:rFonts w:eastAsia="仿宋_GB2312"/>
          <w:sz w:val="32"/>
          <w:szCs w:val="32"/>
        </w:rPr>
        <w:t>由所在地的县级</w:t>
      </w:r>
      <w:r>
        <w:rPr>
          <w:rFonts w:hint="eastAsia" w:eastAsia="仿宋_GB2312"/>
          <w:sz w:val="32"/>
          <w:szCs w:val="32"/>
        </w:rPr>
        <w:t>主管</w:t>
      </w:r>
      <w:r>
        <w:rPr>
          <w:rFonts w:eastAsia="仿宋_GB2312"/>
          <w:sz w:val="32"/>
          <w:szCs w:val="32"/>
        </w:rPr>
        <w:t>部门组织电力、消防、安全等相关部门进行验收，经验收合格</w:t>
      </w:r>
      <w:r>
        <w:rPr>
          <w:rFonts w:hint="eastAsia" w:eastAsia="仿宋_GB2312"/>
          <w:sz w:val="32"/>
          <w:szCs w:val="32"/>
        </w:rPr>
        <w:t>方可</w:t>
      </w:r>
      <w:r>
        <w:rPr>
          <w:rFonts w:eastAsia="仿宋_GB2312"/>
          <w:sz w:val="32"/>
          <w:szCs w:val="32"/>
        </w:rPr>
        <w:t>投入使用。</w:t>
      </w:r>
    </w:p>
    <w:p>
      <w:pPr>
        <w:pStyle w:val="2"/>
        <w:ind w:firstLine="640"/>
        <w:rPr>
          <w:rFonts w:eastAsia="仿宋_GB2312"/>
          <w:sz w:val="32"/>
          <w:szCs w:val="32"/>
        </w:rPr>
      </w:pPr>
      <w:r>
        <w:rPr>
          <w:rFonts w:hint="eastAsia" w:eastAsia="仿宋_GB2312"/>
          <w:sz w:val="32"/>
          <w:szCs w:val="32"/>
        </w:rPr>
        <w:t>加强运营期间安全管理，督促充电设施运营商定期开展安全隐患排查，评估设备状态，确保安全充电。重视居民小区、企事业单位等自用、专用充电设施安全管理，确保设备状态良好、使用安全。</w:t>
      </w:r>
    </w:p>
    <w:p>
      <w:pPr>
        <w:pStyle w:val="4"/>
        <w:spacing w:line="580" w:lineRule="exact"/>
        <w:ind w:firstLine="643"/>
      </w:pPr>
      <w:bookmarkStart w:id="79" w:name="_Toc12111"/>
      <w:bookmarkStart w:id="80" w:name="_Toc370"/>
      <w:r>
        <w:rPr>
          <w:rFonts w:hint="eastAsia"/>
        </w:rPr>
        <w:t>（五）强化充电设施行业</w:t>
      </w:r>
      <w:r>
        <w:t>管理</w:t>
      </w:r>
      <w:bookmarkEnd w:id="79"/>
      <w:bookmarkEnd w:id="80"/>
    </w:p>
    <w:p>
      <w:pPr>
        <w:adjustRightInd w:val="0"/>
        <w:snapToGrid w:val="0"/>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强化充电设施行业管理，充分发挥行业自律组织作用，引导充电设施运营商从价格竞争向服务质量竞争转变，避免为拿补贴而进行市场降价、互相压价等无序竞争，促进行业长远健康发展。</w:t>
      </w:r>
    </w:p>
    <w:p>
      <w:pPr>
        <w:adjustRightInd w:val="0"/>
        <w:snapToGrid w:val="0"/>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加强充电设施运营服务的统一管理，规范充电设施计量、计费、结算等运营服务，引导督促运营商加强充电设施维护和服务能力提升，享受政府充电设施各项补贴的，要保障充电设施可用率在较高水平。</w:t>
      </w:r>
      <w:r>
        <w:rPr>
          <w:rFonts w:hint="eastAsia" w:eastAsia="仿宋_GB2312"/>
          <w:sz w:val="32"/>
          <w:szCs w:val="32"/>
        </w:rPr>
        <w:t>引导运营商提升信息化水平，强化所属设施的支付、运行维护等便利性，增强用户体验。鼓励省内充电设施研发、生产等企业加强技术创新，提升充电保障能力和市场竞争力。</w:t>
      </w:r>
    </w:p>
    <w:p>
      <w:pPr>
        <w:adjustRightInd w:val="0"/>
        <w:snapToGrid w:val="0"/>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加强充电站充电设备状态、环境卫生等问题管理监督，强化充电站“油车占位”问题管理，采取安排专人管理、装设智能化装置、提高占用充电车位燃油车停车收费标准等措施，提升“油车占位”不文明行为治理力度，推进将“油车占位”行为治理列入相关城市管理规定范围，提升消费者充电服务满意度。</w:t>
      </w:r>
    </w:p>
    <w:p>
      <w:pPr>
        <w:pStyle w:val="4"/>
        <w:spacing w:line="580" w:lineRule="exact"/>
        <w:ind w:firstLine="643"/>
        <w:rPr>
          <w:rFonts w:eastAsia="仿宋_GB2312"/>
        </w:rPr>
      </w:pPr>
      <w:bookmarkStart w:id="81" w:name="_Toc23553"/>
      <w:bookmarkStart w:id="82" w:name="_Toc7960"/>
      <w:r>
        <w:rPr>
          <w:rFonts w:hint="eastAsia"/>
        </w:rPr>
        <w:t>（六）积极推动</w:t>
      </w:r>
      <w:r>
        <w:t>商业模式</w:t>
      </w:r>
      <w:r>
        <w:rPr>
          <w:rFonts w:hint="eastAsia"/>
        </w:rPr>
        <w:t>创新</w:t>
      </w:r>
      <w:bookmarkEnd w:id="81"/>
      <w:r>
        <w:rPr>
          <w:rFonts w:hint="eastAsia"/>
        </w:rPr>
        <w:t>及产业高质量发展</w:t>
      </w:r>
      <w:bookmarkEnd w:id="82"/>
    </w:p>
    <w:p>
      <w:pPr>
        <w:adjustRightInd w:val="0"/>
        <w:snapToGrid w:val="0"/>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以技术创新引领商业模式创新。推进</w:t>
      </w:r>
      <w:r>
        <w:rPr>
          <w:rFonts w:ascii="Times New Roman" w:hAnsi="Times New Roman" w:eastAsia="仿宋_GB2312" w:cs="Times New Roman"/>
          <w:sz w:val="32"/>
          <w:szCs w:val="32"/>
        </w:rPr>
        <w:t>V2G</w:t>
      </w:r>
      <w:r>
        <w:rPr>
          <w:rFonts w:hint="eastAsia" w:ascii="Times New Roman" w:hAnsi="Times New Roman" w:eastAsia="仿宋_GB2312" w:cs="Times New Roman"/>
          <w:sz w:val="32"/>
          <w:szCs w:val="32"/>
        </w:rPr>
        <w:t>、电动汽车参与电力需求响应等模式落地。依托陕西智慧车联网等平台，挖掘充电大数据价值，探索充电站布局辅助分析、车辆安全分析等典型应用场景，打造“平台</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”服务生态圈，提升产业发展质量、效率。拓展各类专用充电桩平台接入及代维、车辆租赁、电子商务、餐饮等延伸服务，增加营业收入。</w:t>
      </w:r>
    </w:p>
    <w:p>
      <w:pPr>
        <w:adjustRightInd w:val="0"/>
        <w:snapToGrid w:val="0"/>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充分运用电力交易手段。依托省级智慧车联网平台，聚合充电设施运营企业开展电力交易，进一步推进与新能源发电企业开展绿电交易，通过电价优惠促进行业发展，最大限度降低终端充电电价，“十四五”期间计划开展交易电量50亿千瓦时，节约购电成本5亿元；通过绿电交易消纳光伏扶贫电力等清洁电力，助力绿电扶贫，推动陕西尽早实现“碳达峰”“碳中和”。</w:t>
      </w:r>
    </w:p>
    <w:p>
      <w:pPr>
        <w:adjustRightInd w:val="0"/>
        <w:snapToGrid w:val="0"/>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拓展完善充电产业上中下游产业链，推动高质量发展。依托省内完善的充电网络布局和骨干汽车生产制造企业，激发省内电动汽车消费活力，吸引充电桩生产、电动汽车关键零部件及整车制造、动力电池生产等上游产业在省内聚集，引领带动省内制造业高质量发展；继续推动换电、电池租赁、充电站设计建设等中游产业蓬勃发展，为充电设施“五张网”建设提供有力支撑；带动充电安全检测、充电站运营、大数据分析、车联网、无人驾驶等下游产业发展，提升充电服务产业高质量发展水平。通过完善的充电产业链条带动陕西新兴产业发展和产业结构转型升级，推动高质量发展。</w:t>
      </w:r>
    </w:p>
    <w:p>
      <w:pPr>
        <w:adjustRightInd w:val="0"/>
        <w:snapToGrid w:val="0"/>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加强金融服务支撑。鼓励各类市场主体在公平自愿的原则下，通过多种合作模式开展充电设施建设，不断壮大充电设施建设力量。鼓励社会资本通过政府与社会资本合作（PPP）等方式，参与公交车等公共服务领域车辆充电站建设，鼓励给予充电设施建设运营企业贷款贴息等多种形式的融资支持，推广股权、项目收益权、特许经营权等质押融资方式，加快建立包括财政出资和社会资本投入的多层次担保体系，拓宽充电设施建设运营企业与设备厂商的融资渠道。完善充电设施保险制度，鼓励金融机构创新金融产品和保险品种，降低企业运营和用户使用风险。</w:t>
      </w:r>
    </w:p>
    <w:p>
      <w:pPr>
        <w:pStyle w:val="4"/>
        <w:spacing w:line="580" w:lineRule="exact"/>
        <w:ind w:firstLine="643"/>
        <w:rPr>
          <w:rFonts w:eastAsia="仿宋_GB2312"/>
          <w:b w:val="0"/>
        </w:rPr>
      </w:pPr>
      <w:bookmarkStart w:id="83" w:name="_Toc21279"/>
      <w:bookmarkStart w:id="84" w:name="_Toc15907"/>
      <w:r>
        <w:rPr>
          <w:rFonts w:hint="eastAsia"/>
        </w:rPr>
        <w:t>（七）强化新技术应用</w:t>
      </w:r>
      <w:bookmarkEnd w:id="83"/>
      <w:bookmarkEnd w:id="84"/>
    </w:p>
    <w:p>
      <w:pPr>
        <w:adjustRightInd w:val="0"/>
        <w:snapToGrid w:val="0"/>
        <w:spacing w:line="580" w:lineRule="exact"/>
        <w:ind w:firstLine="640" w:firstLineChars="200"/>
        <w:rPr>
          <w:rFonts w:eastAsia="仿宋_GB2312"/>
          <w:sz w:val="32"/>
          <w:szCs w:val="32"/>
        </w:rPr>
      </w:pPr>
      <w:r>
        <w:rPr>
          <w:rFonts w:hint="eastAsia" w:eastAsia="仿宋_GB2312"/>
          <w:sz w:val="32"/>
          <w:szCs w:val="32"/>
        </w:rPr>
        <w:t>稳步推进充电新技术应用。持续跟踪充电新技术发展，适时</w:t>
      </w:r>
      <w:r>
        <w:rPr>
          <w:rFonts w:hint="eastAsia" w:ascii="Times New Roman" w:hAnsi="Times New Roman" w:eastAsia="仿宋_GB2312" w:cs="Times New Roman"/>
          <w:sz w:val="32"/>
          <w:szCs w:val="32"/>
        </w:rPr>
        <w:t>推进有序充电、负荷控制等技术示范应用，增强充电负荷需求侧响应能力，</w:t>
      </w:r>
      <w:r>
        <w:rPr>
          <w:rFonts w:hint="eastAsia" w:eastAsia="仿宋_GB2312"/>
          <w:sz w:val="32"/>
          <w:szCs w:val="32"/>
        </w:rPr>
        <w:t>挖掘现有电网供电潜力；鼓励开展换电模式，积极推进渣土车等领域换电模式应用；根据场景需求加强超大功率充电、无线充电、小功率直流充电、群充技术等新型充电技术研发应用，提高充电便利性和用户充电体验感。</w:t>
      </w:r>
    </w:p>
    <w:p>
      <w:pPr>
        <w:pStyle w:val="2"/>
        <w:ind w:firstLine="640"/>
        <w:rPr>
          <w:rFonts w:eastAsia="仿宋_GB2312"/>
          <w:sz w:val="32"/>
          <w:szCs w:val="32"/>
        </w:rPr>
      </w:pPr>
      <w:r>
        <w:rPr>
          <w:rFonts w:hint="eastAsia" w:eastAsia="仿宋_GB2312"/>
          <w:sz w:val="32"/>
          <w:szCs w:val="32"/>
        </w:rPr>
        <w:t>加强充电安全技术研发。强化电动汽车和充电设施信息互通水平，通过实时监测充电过程中电流、电压等参数，确保充电过程安全；挖掘充电大数据价值，建立充电安全主动防护体系，构建充电行为、电池安全等多种防护模型，及时发现安全隐患，发挥大数据的充电安全预警作用。</w:t>
      </w:r>
    </w:p>
    <w:p>
      <w:pPr>
        <w:adjustRightInd w:val="0"/>
        <w:snapToGrid w:val="0"/>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试点开展示范工程建设。按照技术落地、效果示范、各方接受、规模发展的路线，鼓励开展</w:t>
      </w:r>
      <w:r>
        <w:rPr>
          <w:rFonts w:ascii="Times New Roman" w:hAnsi="Times New Roman" w:eastAsia="仿宋_GB2312" w:cs="Times New Roman"/>
          <w:sz w:val="32"/>
          <w:szCs w:val="32"/>
        </w:rPr>
        <w:t>V2G</w:t>
      </w:r>
      <w:r>
        <w:rPr>
          <w:rFonts w:hint="eastAsia" w:ascii="Times New Roman" w:hAnsi="Times New Roman" w:eastAsia="仿宋_GB2312" w:cs="Times New Roman"/>
          <w:sz w:val="32"/>
          <w:szCs w:val="32"/>
        </w:rPr>
        <w:t xml:space="preserve">示范应用，推进新能源汽车与电网能量高效互动，提升电网调峰等动态响应能力。结合退役电池梯次利用，鼓励开展“光储充放”（分布式光伏发电—储能系统—充放电）多功能综合一体站建设，充分发挥电动汽车移动储能终端作用，提升清洁能源利用效率。 </w:t>
      </w:r>
    </w:p>
    <w:p>
      <w:pPr>
        <w:pStyle w:val="4"/>
        <w:spacing w:line="580" w:lineRule="exact"/>
        <w:ind w:firstLine="643"/>
      </w:pPr>
      <w:bookmarkStart w:id="85" w:name="_Toc2172"/>
      <w:bookmarkStart w:id="86" w:name="_Toc18644"/>
      <w:r>
        <w:rPr>
          <w:rFonts w:hint="eastAsia"/>
        </w:rPr>
        <w:t>（八）提升电力保障能力</w:t>
      </w:r>
      <w:bookmarkEnd w:id="85"/>
      <w:bookmarkEnd w:id="86"/>
    </w:p>
    <w:p>
      <w:pPr>
        <w:adjustRightInd w:val="0"/>
        <w:snapToGrid w:val="0"/>
        <w:spacing w:line="580" w:lineRule="exact"/>
        <w:ind w:firstLine="640" w:firstLineChars="200"/>
        <w:rPr>
          <w:rFonts w:eastAsia="仿宋_GB2312"/>
          <w:sz w:val="32"/>
          <w:szCs w:val="32"/>
        </w:rPr>
      </w:pPr>
      <w:r>
        <w:rPr>
          <w:rFonts w:hint="eastAsia" w:eastAsia="仿宋_GB2312"/>
          <w:sz w:val="32"/>
          <w:szCs w:val="32"/>
        </w:rPr>
        <w:t>加强供电能力建设。充分考虑日益增长的充电负荷，按照适度超前原则，将充电设施配套电网建设与改造纳入配电网规划。加大配套电力设施用地保障力度，加快公用电力廊道建设，确保充电设施及时接入。现有小区结合城镇老旧小区改造和充电负荷需求，同时综合运用“光储充”、负荷控制等技术，保障小区内充电设施用电有序供应。</w:t>
      </w:r>
    </w:p>
    <w:p>
      <w:pPr>
        <w:adjustRightInd w:val="0"/>
        <w:snapToGrid w:val="0"/>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提供优质用电服务。电网企业要按照相关规划，做好基础设施配套电网建设与改造，</w:t>
      </w:r>
      <w:r>
        <w:rPr>
          <w:rFonts w:ascii="Times New Roman" w:hAnsi="Times New Roman" w:eastAsia="仿宋_GB2312" w:cs="Times New Roman"/>
          <w:sz w:val="32"/>
          <w:szCs w:val="32"/>
        </w:rPr>
        <w:t>从产权分界点到公网接入点的配套接网工程</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由电网企业负责建设和运营维护，且不得收取接网费用</w:t>
      </w:r>
      <w:r>
        <w:rPr>
          <w:rFonts w:hint="eastAsia" w:ascii="Times New Roman" w:hAnsi="Times New Roman" w:eastAsia="仿宋_GB2312" w:cs="Times New Roman"/>
          <w:sz w:val="32"/>
          <w:szCs w:val="32"/>
        </w:rPr>
        <w:t>，相关成本纳入电网输配电价。结合中省优化营商环境相关要求，进一步研究简化充电设施接电报装流程，为充电设施建设、运营提供便利、高效服务。</w:t>
      </w:r>
    </w:p>
    <w:p>
      <w:pPr>
        <w:pStyle w:val="3"/>
        <w:spacing w:line="580" w:lineRule="exact"/>
        <w:ind w:firstLine="643"/>
      </w:pPr>
      <w:bookmarkStart w:id="87" w:name="_Toc7794"/>
      <w:bookmarkStart w:id="88" w:name="_Toc17589"/>
      <w:bookmarkStart w:id="89" w:name="_Toc47622944"/>
      <w:r>
        <w:rPr>
          <w:rFonts w:hint="eastAsia"/>
        </w:rPr>
        <w:t>六、规划实施</w:t>
      </w:r>
      <w:bookmarkEnd w:id="87"/>
      <w:bookmarkEnd w:id="88"/>
      <w:bookmarkEnd w:id="89"/>
    </w:p>
    <w:p>
      <w:pPr>
        <w:pStyle w:val="4"/>
        <w:spacing w:line="580" w:lineRule="exact"/>
        <w:ind w:firstLine="643"/>
      </w:pPr>
      <w:bookmarkStart w:id="90" w:name="_Toc447114646"/>
      <w:bookmarkStart w:id="91" w:name="_Toc18729"/>
      <w:bookmarkStart w:id="92" w:name="_Toc24981"/>
      <w:bookmarkStart w:id="93" w:name="_Toc47622945"/>
      <w:r>
        <w:t>（</w:t>
      </w:r>
      <w:r>
        <w:rPr>
          <w:rFonts w:hint="eastAsia"/>
        </w:rPr>
        <w:t>一</w:t>
      </w:r>
      <w:r>
        <w:t>）保障措施</w:t>
      </w:r>
      <w:bookmarkEnd w:id="90"/>
      <w:bookmarkEnd w:id="91"/>
      <w:bookmarkEnd w:id="92"/>
      <w:bookmarkEnd w:id="93"/>
    </w:p>
    <w:p>
      <w:pPr>
        <w:adjustRightInd w:val="0"/>
        <w:snapToGrid w:val="0"/>
        <w:spacing w:line="580" w:lineRule="exact"/>
        <w:ind w:firstLine="643" w:firstLineChars="200"/>
        <w:rPr>
          <w:rFonts w:ascii="Times New Roman" w:hAnsi="Times New Roman" w:eastAsia="仿宋_GB2312" w:cs="Times New Roman"/>
          <w:sz w:val="32"/>
          <w:szCs w:val="32"/>
        </w:rPr>
      </w:pPr>
      <w:r>
        <w:rPr>
          <w:rFonts w:hint="eastAsia" w:ascii="Times New Roman" w:hAnsi="Times New Roman" w:eastAsia="仿宋_GB2312" w:cs="Times New Roman"/>
          <w:b/>
          <w:bCs/>
          <w:sz w:val="32"/>
          <w:szCs w:val="32"/>
        </w:rPr>
        <w:t>1.加强组织领导。</w:t>
      </w:r>
      <w:r>
        <w:rPr>
          <w:rFonts w:hint="eastAsia" w:ascii="Times New Roman" w:hAnsi="Times New Roman" w:eastAsia="仿宋_GB2312" w:cs="Times New Roman"/>
          <w:sz w:val="32"/>
          <w:szCs w:val="32"/>
        </w:rPr>
        <w:t>各市、县政府是推进电动汽车推广应用和充电设施建设的责任主体，将充电设施建设作为电动汽车推广的关键因素，建立由各级发改部门牵头、各相关行业主管部门密切配合的协同工作机制，统筹制定区域内充电设施建设支持政策，协调推进重大事项，促进充电设施建设工作与电动汽车推广应用有序衔接，确保充电设施建设工作取得实效。重视充电设施规划落地，研究与城市详细规划、电网规划的衔接机制和流程，制定与物业管理、城市停车、高速服务区管理等相关行业管理机制的衔接措施。</w:t>
      </w:r>
    </w:p>
    <w:p>
      <w:pPr>
        <w:adjustRightInd w:val="0"/>
        <w:snapToGrid w:val="0"/>
        <w:spacing w:line="580" w:lineRule="exact"/>
        <w:ind w:firstLine="643" w:firstLineChars="200"/>
        <w:rPr>
          <w:rFonts w:ascii="Times New Roman" w:hAnsi="Times New Roman" w:eastAsia="仿宋_GB2312" w:cs="Times New Roman"/>
          <w:sz w:val="32"/>
          <w:szCs w:val="32"/>
        </w:rPr>
      </w:pPr>
      <w:r>
        <w:rPr>
          <w:rFonts w:hint="eastAsia" w:ascii="Times New Roman" w:hAnsi="Times New Roman" w:eastAsia="仿宋_GB2312" w:cs="Times New Roman"/>
          <w:b/>
          <w:bCs/>
          <w:sz w:val="32"/>
          <w:szCs w:val="32"/>
        </w:rPr>
        <w:t>2.加大政策支持力度。</w:t>
      </w:r>
      <w:r>
        <w:rPr>
          <w:rFonts w:hint="eastAsia" w:ascii="Times New Roman" w:hAnsi="Times New Roman" w:eastAsia="仿宋_GB2312" w:cs="Times New Roman"/>
          <w:sz w:val="32"/>
          <w:szCs w:val="32"/>
        </w:rPr>
        <w:t>将充电设施建设作为推进电动汽车发展、能源使用变革的关键性因素，鼓励各地市加大充电设施建设、使用等环节补贴力度，构建覆盖多层级、各环节的完善充电设施补贴政策体系，重点向保障型、充电运营商建设意愿不强，但关系充电网络建设的关键及薄弱点充电站倾斜，充分发挥政策的杠杆作用。监测充电行业收益情况，合理设置充电设施建设、运营等补贴类别，加强对享受补贴充电设施的事中事后考核监管，保障充电行业良好持续发展和作为基础设施的公益属性。对向电网企业直接报装接电的经营性集中充电式充换电设施，2025年前免收基本电费。</w:t>
      </w:r>
    </w:p>
    <w:p>
      <w:pPr>
        <w:adjustRightInd w:val="0"/>
        <w:snapToGrid w:val="0"/>
        <w:spacing w:line="580" w:lineRule="exact"/>
        <w:ind w:firstLine="643" w:firstLineChars="200"/>
        <w:rPr>
          <w:rFonts w:ascii="Times New Roman" w:hAnsi="Times New Roman" w:eastAsia="仿宋_GB2312" w:cs="Times New Roman"/>
          <w:sz w:val="32"/>
          <w:szCs w:val="32"/>
        </w:rPr>
      </w:pPr>
      <w:r>
        <w:rPr>
          <w:rFonts w:hint="eastAsia" w:ascii="Times New Roman" w:hAnsi="Times New Roman" w:eastAsia="仿宋_GB2312" w:cs="Times New Roman"/>
          <w:b/>
          <w:bCs/>
          <w:sz w:val="32"/>
          <w:szCs w:val="32"/>
        </w:rPr>
        <w:t>3.简化相关审批手续。</w:t>
      </w:r>
      <w:r>
        <w:rPr>
          <w:rFonts w:ascii="Times New Roman" w:hAnsi="Times New Roman" w:eastAsia="仿宋_GB2312" w:cs="Times New Roman"/>
          <w:sz w:val="32"/>
          <w:szCs w:val="32"/>
        </w:rPr>
        <w:t>投资建设充（换）电设施项目实行备案制管理，个人建设自用充电基础设施、单位在既有停车位建设专用充电基础设施的</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可不进行固定资产投资项目备案</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不需办理建设用地规划许可证、建设工程规划许可证和施工许可证。</w:t>
      </w:r>
      <w:r>
        <w:rPr>
          <w:rFonts w:hint="eastAsia" w:ascii="Times New Roman" w:hAnsi="Times New Roman" w:eastAsia="仿宋_GB2312" w:cs="Times New Roman"/>
          <w:sz w:val="32"/>
          <w:szCs w:val="32"/>
        </w:rPr>
        <w:t>建设城市公共停车场时，无需为同步建设充电设施单独办理建设工程规划许可证和施工许可证。</w:t>
      </w:r>
      <w:r>
        <w:rPr>
          <w:rFonts w:ascii="Times New Roman" w:hAnsi="Times New Roman" w:eastAsia="仿宋_GB2312" w:cs="Times New Roman"/>
          <w:sz w:val="32"/>
          <w:szCs w:val="32"/>
        </w:rPr>
        <w:t>新建单独占地的集中式充换电站，</w:t>
      </w:r>
      <w:r>
        <w:rPr>
          <w:rFonts w:hint="eastAsia" w:ascii="Times New Roman" w:hAnsi="Times New Roman" w:eastAsia="仿宋_GB2312" w:cs="Times New Roman"/>
          <w:sz w:val="32"/>
          <w:szCs w:val="32"/>
        </w:rPr>
        <w:t>只要</w:t>
      </w:r>
      <w:r>
        <w:rPr>
          <w:rFonts w:ascii="Times New Roman" w:hAnsi="Times New Roman" w:eastAsia="仿宋_GB2312" w:cs="Times New Roman"/>
          <w:sz w:val="32"/>
          <w:szCs w:val="32"/>
        </w:rPr>
        <w:t>符合城市总体规划和土地利用总体规划，</w:t>
      </w:r>
      <w:r>
        <w:rPr>
          <w:rFonts w:hint="eastAsia" w:ascii="Times New Roman" w:hAnsi="Times New Roman" w:eastAsia="仿宋_GB2312" w:cs="Times New Roman"/>
          <w:sz w:val="32"/>
          <w:szCs w:val="32"/>
        </w:rPr>
        <w:t>有关部门应按时从快</w:t>
      </w:r>
      <w:r>
        <w:rPr>
          <w:rFonts w:ascii="Times New Roman" w:hAnsi="Times New Roman" w:eastAsia="仿宋_GB2312" w:cs="Times New Roman"/>
          <w:sz w:val="32"/>
          <w:szCs w:val="32"/>
        </w:rPr>
        <w:t>办理相关建设手续。</w:t>
      </w:r>
      <w:r>
        <w:rPr>
          <w:rFonts w:hint="eastAsia" w:ascii="Times New Roman" w:hAnsi="Times New Roman" w:eastAsia="仿宋_GB2312" w:cs="Times New Roman"/>
          <w:sz w:val="32"/>
          <w:szCs w:val="32"/>
        </w:rPr>
        <w:t>集中式充电站建设雨棚等充电附属设施，在确保不对周边安全等造成不良影响的情况下，可研究简化相关手续。各相关部门要积极办理充电设施建设施工占道、站外电缆敷设等相关手续，主动协调推进施工进度。</w:t>
      </w:r>
    </w:p>
    <w:p>
      <w:pPr>
        <w:adjustRightInd w:val="0"/>
        <w:snapToGrid w:val="0"/>
        <w:spacing w:line="580" w:lineRule="exact"/>
        <w:ind w:firstLine="643" w:firstLineChars="200"/>
        <w:rPr>
          <w:rFonts w:ascii="Times New Roman" w:hAnsi="Times New Roman" w:eastAsia="仿宋_GB2312" w:cs="Times New Roman"/>
          <w:sz w:val="32"/>
          <w:szCs w:val="32"/>
        </w:rPr>
      </w:pPr>
      <w:r>
        <w:rPr>
          <w:rFonts w:hint="eastAsia" w:ascii="Times New Roman" w:hAnsi="Times New Roman" w:eastAsia="仿宋_GB2312" w:cs="Times New Roman"/>
          <w:b/>
          <w:bCs/>
          <w:sz w:val="32"/>
          <w:szCs w:val="32"/>
        </w:rPr>
        <w:t>4.保障充电设施建设用地，促进合理布局。</w:t>
      </w:r>
      <w:r>
        <w:rPr>
          <w:rFonts w:hint="eastAsia" w:ascii="Times New Roman" w:hAnsi="Times New Roman" w:eastAsia="仿宋_GB2312" w:cs="Times New Roman"/>
          <w:sz w:val="32"/>
          <w:szCs w:val="32"/>
        </w:rPr>
        <w:t>各地政府应大力支持充电设施建设用地需求，市县“多规合一”和城乡整体规划应考虑充电设施建设需求，将独立占地的集中式充电站用地纳入公用设施营业网点用地，合理规划布局公交、客运等车辆停靠场所，保障公共服务车辆专用充电设施用地。在保障安全的前提下，优先在各类建筑配建停车场、加油加气站、社会公共停车场等场所配建充电设施；探索盘活城区集体用地、遗址保护区等土地资源，增加土地供给渠道。推进利用小区地面车位、地下车库建设公共充电站。对于独立占地的充电设施项目，加快办理项目用地预审和用地报批，优先安排土地供应。</w:t>
      </w:r>
    </w:p>
    <w:p>
      <w:pPr>
        <w:adjustRightInd w:val="0"/>
        <w:snapToGrid w:val="0"/>
        <w:spacing w:line="580" w:lineRule="exact"/>
        <w:ind w:firstLine="643" w:firstLineChars="200"/>
        <w:rPr>
          <w:rFonts w:ascii="Times New Roman" w:hAnsi="Times New Roman" w:eastAsia="仿宋_GB2312" w:cs="Times New Roman"/>
          <w:sz w:val="32"/>
          <w:szCs w:val="32"/>
        </w:rPr>
      </w:pPr>
      <w:r>
        <w:rPr>
          <w:rFonts w:hint="eastAsia" w:ascii="Times New Roman" w:hAnsi="Times New Roman" w:eastAsia="仿宋_GB2312" w:cs="Times New Roman"/>
          <w:b/>
          <w:bCs/>
          <w:sz w:val="32"/>
          <w:szCs w:val="32"/>
        </w:rPr>
        <w:t>5.加强供电保障监管。</w:t>
      </w:r>
      <w:r>
        <w:rPr>
          <w:rFonts w:ascii="Times New Roman" w:hAnsi="Times New Roman" w:eastAsia="仿宋_GB2312" w:cs="Times New Roman"/>
          <w:sz w:val="32"/>
          <w:szCs w:val="32"/>
        </w:rPr>
        <w:t> </w:t>
      </w:r>
      <w:r>
        <w:rPr>
          <w:rFonts w:hint="eastAsia" w:ascii="Times New Roman" w:hAnsi="Times New Roman" w:eastAsia="仿宋_GB2312" w:cs="Times New Roman"/>
          <w:sz w:val="32"/>
          <w:szCs w:val="32"/>
        </w:rPr>
        <w:t>电网企业应做好配套电网接入，将配套电网建设与改造纳入配电网专项规划。加强对充电设施供用电环节监管，进一步减少用电报装环节和时限，保障充电设施无障碍接入，确保项目及时用电。</w:t>
      </w:r>
    </w:p>
    <w:p>
      <w:pPr>
        <w:adjustRightInd w:val="0"/>
        <w:snapToGrid w:val="0"/>
        <w:spacing w:line="580" w:lineRule="exact"/>
        <w:ind w:firstLine="643" w:firstLineChars="200"/>
        <w:rPr>
          <w:rFonts w:ascii="Times New Roman" w:hAnsi="Times New Roman" w:eastAsia="仿宋_GB2312" w:cs="Times New Roman"/>
          <w:sz w:val="32"/>
          <w:szCs w:val="32"/>
        </w:rPr>
      </w:pPr>
      <w:r>
        <w:rPr>
          <w:rFonts w:hint="eastAsia" w:ascii="Times New Roman" w:hAnsi="Times New Roman" w:eastAsia="仿宋_GB2312" w:cs="Times New Roman"/>
          <w:b/>
          <w:bCs/>
          <w:sz w:val="32"/>
          <w:szCs w:val="32"/>
        </w:rPr>
        <w:t>6.强化充电安全管理。</w:t>
      </w:r>
      <w:r>
        <w:rPr>
          <w:rFonts w:hint="eastAsia" w:ascii="Times New Roman" w:hAnsi="Times New Roman" w:eastAsia="仿宋_GB2312" w:cs="Times New Roman"/>
          <w:sz w:val="32"/>
          <w:szCs w:val="32"/>
        </w:rPr>
        <w:t>建立健全充电设施建设运营全过程安全监管机制，明确属地安全监管职责和行业主管部门的协同监管职责。推行充电设施设备准入机制，加快制定充电设施设备安全检测标准，省内安装使用的充电设施产品均应取得合格认证机构出具的认证证书。加强充电设施尤其是大型充电站、地下车库充电设施的消防设计审核、消防验收、备案抽查和日常检查。督促充电设施使用方加强日常巡视管理，充分应用远程监控等智能手段，确保充电设施使用安全。</w:t>
      </w:r>
    </w:p>
    <w:p>
      <w:pPr>
        <w:adjustRightInd w:val="0"/>
        <w:snapToGrid w:val="0"/>
        <w:spacing w:line="580" w:lineRule="exact"/>
        <w:ind w:firstLine="643" w:firstLineChars="200"/>
        <w:rPr>
          <w:rFonts w:ascii="Times New Roman" w:hAnsi="Times New Roman" w:eastAsia="仿宋_GB2312" w:cs="Times New Roman"/>
          <w:sz w:val="32"/>
          <w:szCs w:val="32"/>
        </w:rPr>
      </w:pPr>
      <w:r>
        <w:rPr>
          <w:rFonts w:hint="eastAsia" w:ascii="Times New Roman" w:hAnsi="Times New Roman" w:eastAsia="仿宋_GB2312" w:cs="Times New Roman"/>
          <w:b/>
          <w:bCs/>
          <w:sz w:val="32"/>
          <w:szCs w:val="32"/>
        </w:rPr>
        <w:t>7.加强宣传引导。</w:t>
      </w:r>
      <w:r>
        <w:rPr>
          <w:rFonts w:hint="eastAsia" w:ascii="Times New Roman" w:hAnsi="Times New Roman" w:eastAsia="仿宋_GB2312" w:cs="Times New Roman"/>
          <w:sz w:val="32"/>
          <w:szCs w:val="32"/>
        </w:rPr>
        <w:t>省内各级政府相关部门、电动汽车及充电设施行业相关企业以及新闻媒体等要加大电动汽车及充电设施宣传力度，通过各种渠道积极向广大人民群众宣传发展电动汽车及充电设施的重要意义、国家及省内发展成就、先进技术及发展趋势，引导群众增强对电动汽车的认同感，促进社会各方关心、支持、参与充电设施建设，形成建设充电基础设施的强大合力，促进省内充电基础设施又好又快发展。</w:t>
      </w:r>
    </w:p>
    <w:p>
      <w:pPr>
        <w:pStyle w:val="4"/>
        <w:spacing w:line="580" w:lineRule="exact"/>
        <w:ind w:firstLine="643"/>
      </w:pPr>
      <w:bookmarkStart w:id="94" w:name="_Toc47622949"/>
      <w:bookmarkStart w:id="95" w:name="_Toc12195"/>
      <w:bookmarkStart w:id="96" w:name="_Toc447114647"/>
      <w:bookmarkStart w:id="97" w:name="_Toc21417"/>
      <w:bookmarkStart w:id="98" w:name="_Toc47622950"/>
      <w:r>
        <w:rPr>
          <w:rFonts w:hint="eastAsia"/>
        </w:rPr>
        <w:t>（二）</w:t>
      </w:r>
      <w:r>
        <w:t>规划投资</w:t>
      </w:r>
      <w:bookmarkEnd w:id="94"/>
      <w:bookmarkEnd w:id="95"/>
      <w:bookmarkEnd w:id="96"/>
      <w:bookmarkEnd w:id="97"/>
    </w:p>
    <w:p>
      <w:pPr>
        <w:adjustRightInd w:val="0"/>
        <w:snapToGrid w:val="0"/>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“十四五”期间，省内充电设施建设及配套电网建设投资共计约108.5亿元。其中充电设施建设投资70.9亿元，配套电网建设投资37.6亿元。</w:t>
      </w:r>
    </w:p>
    <w:p>
      <w:pPr>
        <w:pStyle w:val="5"/>
        <w:spacing w:line="580" w:lineRule="exact"/>
        <w:ind w:firstLine="643"/>
      </w:pPr>
      <w:r>
        <w:rPr>
          <w:rFonts w:hint="eastAsia"/>
        </w:rPr>
        <w:t>1.充电设施建设投资</w:t>
      </w:r>
    </w:p>
    <w:p>
      <w:pPr>
        <w:adjustRightInd w:val="0"/>
        <w:snapToGrid w:val="0"/>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根据“十四五”充电设施规划规模，测算充电设施建设成本。</w:t>
      </w:r>
    </w:p>
    <w:p>
      <w:pPr>
        <w:pStyle w:val="2"/>
        <w:spacing w:beforeLines="50" w:line="580" w:lineRule="exact"/>
        <w:ind w:firstLine="0" w:firstLineChars="0"/>
        <w:jc w:val="center"/>
        <w:rPr>
          <w:rFonts w:asciiTheme="majorEastAsia" w:hAnsiTheme="majorEastAsia" w:eastAsiaTheme="majorEastAsia" w:cstheme="majorEastAsia"/>
          <w:b/>
          <w:bCs/>
          <w:sz w:val="22"/>
        </w:rPr>
      </w:pPr>
      <w:r>
        <w:rPr>
          <w:rFonts w:hint="eastAsia" w:eastAsia="仿宋_GB2312"/>
          <w:b/>
          <w:bCs/>
          <w:sz w:val="24"/>
        </w:rPr>
        <w:t>表32  单个充电设施建设综合成本</w:t>
      </w:r>
      <w:r>
        <w:rPr>
          <w:rStyle w:val="24"/>
          <w:rFonts w:eastAsiaTheme="majorEastAsia"/>
          <w:b/>
          <w:bCs/>
          <w:sz w:val="22"/>
        </w:rPr>
        <w:footnoteReference w:id="17"/>
      </w:r>
    </w:p>
    <w:tbl>
      <w:tblPr>
        <w:tblStyle w:val="18"/>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23"/>
        <w:gridCol w:w="1643"/>
        <w:gridCol w:w="42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623" w:type="dxa"/>
            <w:vAlign w:val="center"/>
          </w:tcPr>
          <w:p>
            <w:pPr>
              <w:pStyle w:val="27"/>
              <w:spacing w:line="300" w:lineRule="exact"/>
              <w:jc w:val="center"/>
              <w:rPr>
                <w:rFonts w:ascii="仿宋" w:hAnsi="仿宋" w:eastAsia="仿宋"/>
              </w:rPr>
            </w:pPr>
            <w:r>
              <w:rPr>
                <w:rFonts w:hint="eastAsia" w:ascii="仿宋" w:hAnsi="仿宋" w:eastAsia="仿宋"/>
              </w:rPr>
              <w:t>类型</w:t>
            </w:r>
          </w:p>
        </w:tc>
        <w:tc>
          <w:tcPr>
            <w:tcW w:w="1643" w:type="dxa"/>
            <w:vAlign w:val="center"/>
          </w:tcPr>
          <w:p>
            <w:pPr>
              <w:pStyle w:val="27"/>
              <w:spacing w:line="300" w:lineRule="exact"/>
              <w:jc w:val="center"/>
              <w:rPr>
                <w:rFonts w:ascii="仿宋" w:hAnsi="仿宋" w:eastAsia="仿宋"/>
              </w:rPr>
            </w:pPr>
            <w:r>
              <w:rPr>
                <w:rFonts w:hint="eastAsia" w:ascii="仿宋" w:hAnsi="仿宋" w:eastAsia="仿宋"/>
              </w:rPr>
              <w:t>充电功率</w:t>
            </w:r>
          </w:p>
        </w:tc>
        <w:tc>
          <w:tcPr>
            <w:tcW w:w="4256" w:type="dxa"/>
            <w:vAlign w:val="center"/>
          </w:tcPr>
          <w:p>
            <w:pPr>
              <w:pStyle w:val="27"/>
              <w:spacing w:line="300" w:lineRule="exact"/>
              <w:jc w:val="center"/>
              <w:rPr>
                <w:rFonts w:ascii="仿宋" w:hAnsi="仿宋" w:eastAsia="仿宋"/>
              </w:rPr>
            </w:pPr>
            <w:r>
              <w:rPr>
                <w:rFonts w:hint="eastAsia" w:ascii="仿宋" w:hAnsi="仿宋" w:eastAsia="仿宋"/>
              </w:rPr>
              <w:t>充电设施建设成本（万元）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623" w:type="dxa"/>
            <w:vAlign w:val="center"/>
          </w:tcPr>
          <w:p>
            <w:pPr>
              <w:pStyle w:val="27"/>
              <w:spacing w:line="300" w:lineRule="exact"/>
              <w:jc w:val="center"/>
              <w:rPr>
                <w:rFonts w:ascii="仿宋" w:hAnsi="仿宋" w:eastAsia="仿宋"/>
              </w:rPr>
            </w:pPr>
            <w:r>
              <w:rPr>
                <w:rFonts w:hint="eastAsia" w:ascii="仿宋" w:hAnsi="仿宋" w:eastAsia="仿宋"/>
              </w:rPr>
              <w:t>交流充电桩</w:t>
            </w:r>
          </w:p>
        </w:tc>
        <w:tc>
          <w:tcPr>
            <w:tcW w:w="1643" w:type="dxa"/>
            <w:vAlign w:val="center"/>
          </w:tcPr>
          <w:p>
            <w:pPr>
              <w:pStyle w:val="27"/>
              <w:spacing w:line="300" w:lineRule="exact"/>
              <w:jc w:val="center"/>
            </w:pPr>
            <w:r>
              <w:rPr>
                <w:rFonts w:hint="eastAsia"/>
              </w:rPr>
              <w:t>7kW</w:t>
            </w:r>
          </w:p>
        </w:tc>
        <w:tc>
          <w:tcPr>
            <w:tcW w:w="4256" w:type="dxa"/>
            <w:vAlign w:val="center"/>
          </w:tcPr>
          <w:p>
            <w:pPr>
              <w:pStyle w:val="27"/>
              <w:spacing w:line="300" w:lineRule="exact"/>
              <w:jc w:val="center"/>
            </w:pPr>
            <w:r>
              <w:rPr>
                <w:rFonts w:hint="eastAsia"/>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623" w:type="dxa"/>
            <w:vAlign w:val="center"/>
          </w:tcPr>
          <w:p>
            <w:pPr>
              <w:pStyle w:val="27"/>
              <w:spacing w:line="300" w:lineRule="exact"/>
              <w:jc w:val="center"/>
              <w:rPr>
                <w:rFonts w:ascii="仿宋" w:hAnsi="仿宋" w:eastAsia="仿宋"/>
              </w:rPr>
            </w:pPr>
            <w:r>
              <w:rPr>
                <w:rFonts w:hint="eastAsia" w:ascii="仿宋" w:hAnsi="仿宋" w:eastAsia="仿宋"/>
              </w:rPr>
              <w:t>直流充电桩</w:t>
            </w:r>
          </w:p>
        </w:tc>
        <w:tc>
          <w:tcPr>
            <w:tcW w:w="1643" w:type="dxa"/>
            <w:vAlign w:val="center"/>
          </w:tcPr>
          <w:p>
            <w:pPr>
              <w:pStyle w:val="27"/>
              <w:spacing w:line="300" w:lineRule="exact"/>
              <w:jc w:val="center"/>
            </w:pPr>
            <w:r>
              <w:rPr>
                <w:rFonts w:hint="eastAsia"/>
              </w:rPr>
              <w:t>20kW</w:t>
            </w:r>
          </w:p>
        </w:tc>
        <w:tc>
          <w:tcPr>
            <w:tcW w:w="4256" w:type="dxa"/>
            <w:vAlign w:val="center"/>
          </w:tcPr>
          <w:p>
            <w:pPr>
              <w:pStyle w:val="27"/>
              <w:spacing w:line="300" w:lineRule="exact"/>
              <w:jc w:val="center"/>
            </w:pPr>
            <w:r>
              <w:rPr>
                <w:rFonts w:hint="eastAsia"/>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623" w:type="dxa"/>
            <w:vAlign w:val="center"/>
          </w:tcPr>
          <w:p>
            <w:pPr>
              <w:pStyle w:val="27"/>
              <w:spacing w:line="300" w:lineRule="exact"/>
              <w:jc w:val="center"/>
              <w:rPr>
                <w:rFonts w:ascii="仿宋" w:hAnsi="仿宋" w:eastAsia="仿宋"/>
              </w:rPr>
            </w:pPr>
            <w:r>
              <w:rPr>
                <w:rFonts w:hint="eastAsia" w:ascii="仿宋" w:hAnsi="仿宋" w:eastAsia="仿宋"/>
              </w:rPr>
              <w:t>直流充电桩</w:t>
            </w:r>
          </w:p>
        </w:tc>
        <w:tc>
          <w:tcPr>
            <w:tcW w:w="1643" w:type="dxa"/>
            <w:vAlign w:val="center"/>
          </w:tcPr>
          <w:p>
            <w:pPr>
              <w:pStyle w:val="27"/>
              <w:spacing w:line="300" w:lineRule="exact"/>
              <w:jc w:val="center"/>
            </w:pPr>
            <w:r>
              <w:rPr>
                <w:rFonts w:hint="eastAsia"/>
              </w:rPr>
              <w:t>60kW</w:t>
            </w:r>
          </w:p>
        </w:tc>
        <w:tc>
          <w:tcPr>
            <w:tcW w:w="4256" w:type="dxa"/>
            <w:vAlign w:val="center"/>
          </w:tcPr>
          <w:p>
            <w:pPr>
              <w:pStyle w:val="27"/>
              <w:spacing w:line="300" w:lineRule="exact"/>
              <w:jc w:val="center"/>
            </w:pPr>
            <w:r>
              <w:rPr>
                <w:rFonts w:hint="eastAsia"/>
              </w:rPr>
              <w:t>14</w:t>
            </w:r>
          </w:p>
        </w:tc>
      </w:tr>
    </w:tbl>
    <w:p>
      <w:pPr>
        <w:adjustRightInd w:val="0"/>
        <w:snapToGrid w:val="0"/>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经测算，陕西省“十四五”充电设施建设投资70.9亿元（不含土地及电网接入费用）。</w:t>
      </w:r>
    </w:p>
    <w:p>
      <w:pPr>
        <w:pStyle w:val="2"/>
        <w:spacing w:beforeLines="50" w:line="580" w:lineRule="exact"/>
        <w:ind w:firstLine="0" w:firstLineChars="0"/>
        <w:jc w:val="center"/>
        <w:rPr>
          <w:rFonts w:eastAsia="仿宋_GB2312"/>
          <w:b/>
          <w:bCs/>
          <w:sz w:val="24"/>
        </w:rPr>
      </w:pPr>
      <w:r>
        <w:rPr>
          <w:rFonts w:hint="eastAsia" w:eastAsia="仿宋_GB2312"/>
          <w:b/>
          <w:bCs/>
          <w:sz w:val="24"/>
        </w:rPr>
        <w:t>表</w:t>
      </w:r>
      <w:r>
        <w:rPr>
          <w:rFonts w:eastAsia="仿宋_GB2312"/>
          <w:b/>
          <w:bCs/>
          <w:sz w:val="24"/>
        </w:rPr>
        <w:t>33</w:t>
      </w:r>
      <w:r>
        <w:rPr>
          <w:rFonts w:hint="eastAsia" w:eastAsia="仿宋_GB2312"/>
          <w:b/>
          <w:bCs/>
          <w:sz w:val="24"/>
        </w:rPr>
        <w:t xml:space="preserve">  陕西省“十四五”充电设施规划投资估算</w:t>
      </w:r>
    </w:p>
    <w:tbl>
      <w:tblPr>
        <w:tblStyle w:val="18"/>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52"/>
        <w:gridCol w:w="49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552" w:type="dxa"/>
            <w:vAlign w:val="center"/>
          </w:tcPr>
          <w:p>
            <w:pPr>
              <w:pStyle w:val="27"/>
              <w:spacing w:line="300" w:lineRule="exact"/>
              <w:jc w:val="center"/>
              <w:rPr>
                <w:rFonts w:ascii="仿宋" w:hAnsi="仿宋" w:eastAsia="仿宋"/>
              </w:rPr>
            </w:pPr>
            <w:r>
              <w:rPr>
                <w:rFonts w:hint="eastAsia" w:ascii="仿宋" w:hAnsi="仿宋" w:eastAsia="仿宋"/>
              </w:rPr>
              <w:t>类型</w:t>
            </w:r>
          </w:p>
        </w:tc>
        <w:tc>
          <w:tcPr>
            <w:tcW w:w="4970" w:type="dxa"/>
            <w:vAlign w:val="center"/>
          </w:tcPr>
          <w:p>
            <w:pPr>
              <w:pStyle w:val="27"/>
              <w:spacing w:line="300" w:lineRule="exact"/>
              <w:jc w:val="center"/>
              <w:rPr>
                <w:rFonts w:ascii="仿宋" w:hAnsi="仿宋" w:eastAsia="仿宋"/>
              </w:rPr>
            </w:pPr>
            <w:r>
              <w:rPr>
                <w:rFonts w:hint="eastAsia" w:ascii="仿宋" w:hAnsi="仿宋" w:eastAsia="仿宋"/>
              </w:rPr>
              <w:t>“十四五”规划投资（亿元）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552" w:type="dxa"/>
            <w:vAlign w:val="center"/>
          </w:tcPr>
          <w:p>
            <w:pPr>
              <w:pStyle w:val="27"/>
              <w:spacing w:line="300" w:lineRule="exact"/>
              <w:jc w:val="center"/>
              <w:rPr>
                <w:rFonts w:ascii="仿宋" w:hAnsi="仿宋" w:eastAsia="仿宋"/>
              </w:rPr>
            </w:pPr>
            <w:r>
              <w:rPr>
                <w:rFonts w:hint="eastAsia" w:ascii="仿宋" w:hAnsi="仿宋" w:eastAsia="仿宋"/>
              </w:rPr>
              <w:t>专用充电设施</w:t>
            </w:r>
          </w:p>
        </w:tc>
        <w:tc>
          <w:tcPr>
            <w:tcW w:w="4970" w:type="dxa"/>
            <w:vAlign w:val="center"/>
          </w:tcPr>
          <w:p>
            <w:pPr>
              <w:pStyle w:val="27"/>
              <w:spacing w:line="300" w:lineRule="exact"/>
              <w:jc w:val="center"/>
            </w:pPr>
            <w:r>
              <w:rPr>
                <w:rFonts w:hint="eastAsia"/>
              </w:rPr>
              <w:t>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552" w:type="dxa"/>
            <w:vAlign w:val="center"/>
          </w:tcPr>
          <w:p>
            <w:pPr>
              <w:pStyle w:val="27"/>
              <w:spacing w:line="300" w:lineRule="exact"/>
              <w:jc w:val="center"/>
              <w:rPr>
                <w:rFonts w:ascii="仿宋" w:hAnsi="仿宋" w:eastAsia="仿宋"/>
              </w:rPr>
            </w:pPr>
            <w:r>
              <w:rPr>
                <w:rFonts w:hint="eastAsia" w:ascii="仿宋" w:hAnsi="仿宋" w:eastAsia="仿宋"/>
              </w:rPr>
              <w:t>公共充电设施</w:t>
            </w:r>
          </w:p>
        </w:tc>
        <w:tc>
          <w:tcPr>
            <w:tcW w:w="4970" w:type="dxa"/>
            <w:vAlign w:val="center"/>
          </w:tcPr>
          <w:p>
            <w:pPr>
              <w:pStyle w:val="27"/>
              <w:spacing w:line="300" w:lineRule="exact"/>
              <w:jc w:val="center"/>
            </w:pPr>
            <w:r>
              <w:rPr>
                <w:rFonts w:hint="eastAsia"/>
              </w:rPr>
              <w:t>51.4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552" w:type="dxa"/>
            <w:vAlign w:val="center"/>
          </w:tcPr>
          <w:p>
            <w:pPr>
              <w:pStyle w:val="27"/>
              <w:spacing w:line="300" w:lineRule="exact"/>
              <w:jc w:val="center"/>
              <w:rPr>
                <w:rFonts w:ascii="仿宋" w:hAnsi="仿宋" w:eastAsia="仿宋"/>
              </w:rPr>
            </w:pPr>
            <w:r>
              <w:rPr>
                <w:rFonts w:hint="eastAsia" w:ascii="仿宋" w:hAnsi="仿宋" w:eastAsia="仿宋"/>
              </w:rPr>
              <w:t>私人及公务充电设施</w:t>
            </w:r>
          </w:p>
        </w:tc>
        <w:tc>
          <w:tcPr>
            <w:tcW w:w="4970" w:type="dxa"/>
            <w:vAlign w:val="center"/>
          </w:tcPr>
          <w:p>
            <w:pPr>
              <w:pStyle w:val="27"/>
              <w:spacing w:line="300" w:lineRule="exact"/>
              <w:jc w:val="center"/>
            </w:pPr>
            <w:r>
              <w:rPr>
                <w:rFonts w:hint="eastAsia"/>
              </w:rPr>
              <w:t>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552" w:type="dxa"/>
            <w:vAlign w:val="center"/>
          </w:tcPr>
          <w:p>
            <w:pPr>
              <w:pStyle w:val="27"/>
              <w:spacing w:line="300" w:lineRule="exact"/>
              <w:jc w:val="center"/>
              <w:rPr>
                <w:rFonts w:ascii="仿宋" w:hAnsi="仿宋" w:eastAsia="仿宋"/>
              </w:rPr>
            </w:pPr>
            <w:r>
              <w:rPr>
                <w:rFonts w:hint="eastAsia" w:ascii="仿宋" w:hAnsi="仿宋" w:eastAsia="仿宋"/>
              </w:rPr>
              <w:t>合计</w:t>
            </w:r>
          </w:p>
        </w:tc>
        <w:tc>
          <w:tcPr>
            <w:tcW w:w="4970" w:type="dxa"/>
            <w:vAlign w:val="center"/>
          </w:tcPr>
          <w:p>
            <w:pPr>
              <w:pStyle w:val="27"/>
              <w:spacing w:line="300" w:lineRule="exact"/>
              <w:jc w:val="center"/>
            </w:pPr>
            <w:r>
              <w:rPr>
                <w:rFonts w:hint="eastAsia"/>
              </w:rPr>
              <w:t>70.9</w:t>
            </w:r>
          </w:p>
        </w:tc>
      </w:tr>
    </w:tbl>
    <w:p>
      <w:pPr>
        <w:rPr>
          <w:szCs w:val="22"/>
        </w:rPr>
      </w:pPr>
    </w:p>
    <w:p>
      <w:pPr>
        <w:rPr>
          <w:szCs w:val="22"/>
        </w:rPr>
      </w:pPr>
      <w:r>
        <w:rPr>
          <w:szCs w:val="22"/>
        </w:rPr>
        <w:drawing>
          <wp:inline distT="0" distB="0" distL="0" distR="0">
            <wp:extent cx="5255260" cy="2194560"/>
            <wp:effectExtent l="0" t="0" r="0" b="0"/>
            <wp:docPr id="63" name="图表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pPr>
        <w:pStyle w:val="26"/>
        <w:spacing w:afterLines="50" w:line="580" w:lineRule="exact"/>
        <w:rPr>
          <w:rFonts w:eastAsia="仿宋_GB2312"/>
          <w:bCs/>
          <w:sz w:val="24"/>
          <w:szCs w:val="24"/>
        </w:rPr>
      </w:pPr>
      <w:r>
        <w:rPr>
          <w:rFonts w:eastAsia="仿宋_GB2312"/>
          <w:bCs/>
          <w:sz w:val="24"/>
          <w:szCs w:val="24"/>
        </w:rPr>
        <w:t>图</w:t>
      </w:r>
      <w:r>
        <w:rPr>
          <w:rFonts w:hint="eastAsia" w:eastAsia="仿宋_GB2312"/>
          <w:bCs/>
          <w:sz w:val="24"/>
          <w:szCs w:val="24"/>
        </w:rPr>
        <w:t xml:space="preserve">28  </w:t>
      </w:r>
      <w:r>
        <w:rPr>
          <w:rFonts w:eastAsia="仿宋_GB2312"/>
          <w:bCs/>
          <w:sz w:val="24"/>
          <w:szCs w:val="24"/>
        </w:rPr>
        <w:t>陕西省“十四五”充电设施规划投资估算（亿元）</w:t>
      </w:r>
    </w:p>
    <w:p>
      <w:pPr>
        <w:pStyle w:val="5"/>
        <w:spacing w:line="580" w:lineRule="exact"/>
        <w:ind w:firstLine="643"/>
      </w:pPr>
      <w:r>
        <w:rPr>
          <w:rFonts w:hint="eastAsia"/>
        </w:rPr>
        <w:t>2.配套电网建设投资</w:t>
      </w:r>
    </w:p>
    <w:p>
      <w:pPr>
        <w:adjustRightInd w:val="0"/>
        <w:snapToGrid w:val="0"/>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设定城市公共充电站、公交车充电站、客运车辆充电站、工程车辆充电站均为每站含30台60kW直流充电桩的标准充电桩，每站采用10kV电缆接入，接入线路长度约1.5千米，单站接入按100万元计算。高速服务区充电站采用单回架空接入，接入线路长度约3千米，单站接入按照50万元计算。</w:t>
      </w:r>
    </w:p>
    <w:p>
      <w:pPr>
        <w:adjustRightInd w:val="0"/>
        <w:snapToGrid w:val="0"/>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kW小功率直流充电桩采用</w:t>
      </w:r>
      <w:r>
        <w:rPr>
          <w:rFonts w:ascii="Times New Roman" w:hAnsi="Times New Roman" w:eastAsia="仿宋_GB2312" w:cs="Times New Roman"/>
          <w:sz w:val="32"/>
          <w:szCs w:val="32"/>
        </w:rPr>
        <w:t>38</w:t>
      </w:r>
      <w:r>
        <w:rPr>
          <w:rFonts w:hint="eastAsia" w:ascii="Times New Roman" w:hAnsi="Times New Roman" w:eastAsia="仿宋_GB2312" w:cs="Times New Roman"/>
          <w:sz w:val="32"/>
          <w:szCs w:val="32"/>
        </w:rPr>
        <w:t>0V接入，每桩接入费用约</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万元。7kW交通充电桩采用220V接入，每桩接入费用约0.5万元。</w:t>
      </w:r>
    </w:p>
    <w:p>
      <w:pPr>
        <w:adjustRightInd w:val="0"/>
        <w:snapToGrid w:val="0"/>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（3）西安地区110kV变电站建设成本单站按照1.5亿元计算。</w:t>
      </w:r>
    </w:p>
    <w:p>
      <w:pPr>
        <w:adjustRightInd w:val="0"/>
        <w:snapToGrid w:val="0"/>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经计算，“十四五”期间充电设施直接接入电网需配套建设投资37.6亿元。</w:t>
      </w:r>
    </w:p>
    <w:p>
      <w:pPr>
        <w:pStyle w:val="4"/>
        <w:spacing w:line="580" w:lineRule="exact"/>
        <w:ind w:firstLine="643"/>
        <w:rPr>
          <w:rFonts w:eastAsia="仿宋_GB2312"/>
        </w:rPr>
      </w:pPr>
      <w:bookmarkStart w:id="99" w:name="_Toc803"/>
      <w:bookmarkStart w:id="100" w:name="_Toc29857"/>
      <w:r>
        <w:rPr>
          <w:rFonts w:hint="eastAsia"/>
        </w:rPr>
        <w:t>（三）实施效果</w:t>
      </w:r>
      <w:bookmarkEnd w:id="98"/>
      <w:bookmarkEnd w:id="99"/>
      <w:bookmarkEnd w:id="100"/>
    </w:p>
    <w:p>
      <w:pPr>
        <w:adjustRightInd w:val="0"/>
        <w:snapToGrid w:val="0"/>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本规划实施后，将充分满足省内“十四五”期间预期规模电动汽车充电需求，整体上实现便捷、安全充电，保障电动汽车畅通出行，从源头上刺激、带动电动汽车全产业链发展，为经济社会发展提供新的增长点。</w:t>
      </w:r>
    </w:p>
    <w:p>
      <w:pPr>
        <w:adjustRightInd w:val="0"/>
        <w:snapToGrid w:val="0"/>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按照每辆电动公交车</w:t>
      </w:r>
      <w:r>
        <w:rPr>
          <w:rFonts w:ascii="Times New Roman" w:hAnsi="Times New Roman" w:eastAsia="仿宋_GB2312" w:cs="Times New Roman"/>
          <w:sz w:val="32"/>
          <w:szCs w:val="32"/>
        </w:rPr>
        <w:t>110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辆、电动巡游出租车</w:t>
      </w:r>
      <w:r>
        <w:rPr>
          <w:rFonts w:ascii="Times New Roman" w:hAnsi="Times New Roman" w:eastAsia="仿宋_GB2312" w:cs="Times New Roman"/>
          <w:sz w:val="32"/>
          <w:szCs w:val="32"/>
        </w:rPr>
        <w:t>15</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辆、电动网约出租车</w:t>
      </w:r>
      <w:r>
        <w:rPr>
          <w:rFonts w:ascii="Times New Roman" w:hAnsi="Times New Roman" w:eastAsia="仿宋_GB2312" w:cs="Times New Roman"/>
          <w:sz w:val="32"/>
          <w:szCs w:val="32"/>
        </w:rPr>
        <w:t>15</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辆、电动物流车</w:t>
      </w:r>
      <w:r>
        <w:rPr>
          <w:rFonts w:ascii="Times New Roman" w:hAnsi="Times New Roman" w:eastAsia="仿宋_GB2312" w:cs="Times New Roman"/>
          <w:sz w:val="32"/>
          <w:szCs w:val="32"/>
        </w:rPr>
        <w:t>25</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辆、电动环卫车</w:t>
      </w:r>
      <w:r>
        <w:rPr>
          <w:rFonts w:ascii="Times New Roman" w:hAnsi="Times New Roman" w:eastAsia="仿宋_GB2312" w:cs="Times New Roman"/>
          <w:sz w:val="32"/>
          <w:szCs w:val="32"/>
        </w:rPr>
        <w:t>35</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辆、电动客车</w:t>
      </w:r>
      <w:r>
        <w:rPr>
          <w:rFonts w:ascii="Times New Roman" w:hAnsi="Times New Roman" w:eastAsia="仿宋_GB2312" w:cs="Times New Roman"/>
          <w:sz w:val="32"/>
          <w:szCs w:val="32"/>
        </w:rPr>
        <w:t>110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辆、电动工程车</w:t>
      </w:r>
      <w:r>
        <w:rPr>
          <w:rFonts w:ascii="Times New Roman" w:hAnsi="Times New Roman" w:eastAsia="仿宋_GB2312" w:cs="Times New Roman"/>
          <w:sz w:val="32"/>
          <w:szCs w:val="32"/>
        </w:rPr>
        <w:t>100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辆、电动私人及公务车</w:t>
      </w:r>
      <w:r>
        <w:rPr>
          <w:rFonts w:ascii="Times New Roman" w:hAnsi="Times New Roman" w:eastAsia="仿宋_GB2312" w:cs="Times New Roman"/>
          <w:sz w:val="32"/>
          <w:szCs w:val="32"/>
        </w:rPr>
        <w:t>15</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辆计算，“十四五”期间可拉动省内电动汽车消费约905亿元。</w:t>
      </w:r>
    </w:p>
    <w:p>
      <w:pPr>
        <w:adjustRightInd w:val="0"/>
        <w:snapToGrid w:val="0"/>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“十四五”期间，根据上文中各类型车辆行驶里程和单位里程电耗，陕西省通过推广电动汽车可实现累计充电电量约</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50亿度，节约燃油约</w:t>
      </w:r>
      <w:r>
        <w:rPr>
          <w:rFonts w:ascii="Times New Roman" w:hAnsi="Times New Roman" w:eastAsia="仿宋_GB2312" w:cs="Times New Roman"/>
          <w:sz w:val="32"/>
          <w:szCs w:val="32"/>
        </w:rPr>
        <w:t>7</w:t>
      </w:r>
      <w:r>
        <w:rPr>
          <w:rFonts w:hint="eastAsia" w:ascii="Times New Roman" w:hAnsi="Times New Roman" w:eastAsia="仿宋_GB2312" w:cs="Times New Roman"/>
          <w:sz w:val="32"/>
          <w:szCs w:val="32"/>
        </w:rPr>
        <w:t>7亿升，按照燃烧</w:t>
      </w:r>
      <w:r>
        <w:rPr>
          <w:rFonts w:ascii="Times New Roman" w:hAnsi="Times New Roman" w:eastAsia="仿宋_GB2312" w:cs="Times New Roman"/>
          <w:sz w:val="32"/>
          <w:szCs w:val="32"/>
        </w:rPr>
        <w:t>1L</w:t>
      </w:r>
      <w:r>
        <w:rPr>
          <w:rFonts w:hint="eastAsia" w:ascii="Times New Roman" w:hAnsi="Times New Roman" w:eastAsia="仿宋_GB2312" w:cs="Times New Roman"/>
          <w:sz w:val="32"/>
          <w:szCs w:val="32"/>
        </w:rPr>
        <w:t>汽油产生</w:t>
      </w:r>
      <w:r>
        <w:rPr>
          <w:rFonts w:ascii="Times New Roman" w:hAnsi="Times New Roman" w:eastAsia="仿宋_GB2312" w:cs="Times New Roman"/>
          <w:sz w:val="32"/>
          <w:szCs w:val="32"/>
        </w:rPr>
        <w:t>2.3kg</w:t>
      </w:r>
      <w:r>
        <w:rPr>
          <w:rFonts w:hint="eastAsia" w:ascii="Times New Roman" w:hAnsi="Times New Roman" w:eastAsia="仿宋_GB2312" w:cs="Times New Roman"/>
          <w:sz w:val="32"/>
          <w:szCs w:val="32"/>
        </w:rPr>
        <w:t>二氧化碳计算，使用地二氧化碳减排</w:t>
      </w:r>
      <w:r>
        <w:rPr>
          <w:rFonts w:ascii="Times New Roman" w:hAnsi="Times New Roman" w:eastAsia="仿宋_GB2312" w:cs="Times New Roman"/>
          <w:sz w:val="32"/>
          <w:szCs w:val="32"/>
        </w:rPr>
        <w:t>17</w:t>
      </w:r>
      <w:r>
        <w:rPr>
          <w:rFonts w:hint="eastAsia" w:ascii="Times New Roman" w:hAnsi="Times New Roman" w:eastAsia="仿宋_GB2312" w:cs="Times New Roman"/>
          <w:sz w:val="32"/>
          <w:szCs w:val="32"/>
        </w:rPr>
        <w:t>90万吨，同时能够减少尾气排放，降低城市噪声，为建设美丽陕西做出贡献。</w:t>
      </w:r>
    </w:p>
    <w:sectPr>
      <w:footerReference r:id="rId6"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both"/>
    </w:pPr>
  </w:p>
  <w:p>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p>
  <w:p>
    <w:pPr>
      <w:pStyle w:val="1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pict>
        <v:shape id="文本框 3" o:spid="_x0000_s4097" o:spt="202" type="#_x0000_t202" style="position:absolute;left:0pt;margin-top:0pt;height:26.7pt;width:30.05pt;mso-position-horizontal:center;mso-position-horizontal-relative:margin;mso-wrap-style:none;z-index:251659264;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">
          <v:path/>
          <v:fill on="f" focussize="0,0"/>
          <v:stroke on="f" joinstyle="miter"/>
          <v:imagedata o:title=""/>
          <o:lock v:ext="edit"/>
          <v:textbox inset="0mm,0mm,0mm,0mm" style="mso-fit-shape-to-text:t;">
            <w:txbxContent>
              <w:sdt>
                <w:sdtPr>
                  <w:id w:val="-1777556680"/>
                </w:sdtPr>
                <w:sdtEndPr>
                  <w:rPr>
                    <w:rFonts w:ascii="Times New Roman" w:hAnsi="Times New Roman" w:cs="Times New Roman"/>
                  </w:rPr>
                </w:sdtEndPr>
                <w:sdtContent>
                  <w:p>
                    <w:pPr>
                      <w:pStyle w:val="11"/>
                      <w:jc w:val="center"/>
                      <w:rPr>
                        <w:rFonts w:ascii="Times New Roman" w:hAnsi="Times New Roman" w:cs="Times New Roman"/>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lang w:val="zh-CN"/>
                      </w:rPr>
                      <w:t>58</w:t>
                    </w:r>
                    <w:r>
                      <w:rPr>
                        <w:rFonts w:ascii="Times New Roman" w:hAnsi="Times New Roman" w:cs="Times New Roman"/>
                        <w:sz w:val="24"/>
                        <w:szCs w:val="24"/>
                        <w:lang w:val="zh-CN"/>
                      </w:rPr>
                      <w:fldChar w:fldCharType="end"/>
                    </w:r>
                  </w:p>
                </w:sdtContent>
              </w:sdt>
              <w:p>
                <w:pPr>
                  <w:pStyle w:val="2"/>
                </w:pPr>
              </w:p>
            </w:txbxContent>
          </v:textbox>
        </v:shape>
      </w:pict>
    </w:r>
  </w:p>
  <w:p>
    <w:pPr>
      <w:pStyle w:val="1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36">
    <w:p>
      <w:r>
        <w:separator/>
      </w:r>
    </w:p>
  </w:footnote>
  <w:footnote w:type="continuationSeparator" w:id="37">
    <w:p>
      <w:r>
        <w:continuationSeparator/>
      </w:r>
    </w:p>
  </w:footnote>
  <w:footnote w:id="0">
    <w:p>
      <w:pPr>
        <w:pStyle w:val="14"/>
      </w:pPr>
      <w:r>
        <w:rPr>
          <w:rStyle w:val="24"/>
          <w:rFonts w:ascii="Times New Roman" w:hAnsi="Times New Roman" w:cs="Times New Roman"/>
        </w:rPr>
        <w:footnoteRef/>
      </w:r>
      <w:r>
        <w:rPr>
          <w:rFonts w:hint="eastAsia"/>
        </w:rPr>
        <w:t>该段数据来源于公安部交通管理局网站数据。</w:t>
      </w:r>
    </w:p>
  </w:footnote>
  <w:footnote w:id="1">
    <w:p>
      <w:pPr>
        <w:pStyle w:val="14"/>
        <w:rPr>
          <w:rFonts w:ascii="Times New Roman" w:hAnsi="Times New Roman" w:cs="Times New Roman"/>
        </w:rPr>
      </w:pPr>
      <w:r>
        <w:rPr>
          <w:rStyle w:val="24"/>
          <w:rFonts w:ascii="Times New Roman" w:hAnsi="Times New Roman" w:cs="Times New Roman"/>
        </w:rPr>
        <w:footnoteRef/>
      </w:r>
      <w:r>
        <w:rPr>
          <w:rFonts w:ascii="Times New Roman" w:cs="Times New Roman"/>
        </w:rPr>
        <w:t>表中公交、出租、环卫车辆数据来源于省工信厅，其他车辆数据来源于调研。</w:t>
      </w:r>
    </w:p>
  </w:footnote>
  <w:footnote w:id="2">
    <w:p>
      <w:pPr>
        <w:pStyle w:val="14"/>
      </w:pPr>
      <w:r>
        <w:rPr>
          <w:rStyle w:val="24"/>
          <w:rFonts w:ascii="Times New Roman" w:hAnsi="Times New Roman" w:cs="Times New Roman"/>
        </w:rPr>
        <w:footnoteRef/>
      </w:r>
      <w:r>
        <w:rPr>
          <w:rFonts w:hint="eastAsia"/>
        </w:rPr>
        <w:t>省交通厅提供数据。</w:t>
      </w:r>
    </w:p>
  </w:footnote>
  <w:footnote w:id="3">
    <w:p>
      <w:pPr>
        <w:pStyle w:val="14"/>
      </w:pPr>
      <w:r>
        <w:rPr>
          <w:rStyle w:val="24"/>
          <w:rFonts w:ascii="Times New Roman" w:hAnsi="Times New Roman" w:cs="Times New Roman"/>
        </w:rPr>
        <w:footnoteRef/>
      </w:r>
      <w:r>
        <w:rPr>
          <w:rFonts w:hint="eastAsia"/>
        </w:rPr>
        <w:t>该段数据来源于调研掌握资料。</w:t>
      </w:r>
    </w:p>
  </w:footnote>
  <w:footnote w:id="4">
    <w:p>
      <w:pPr>
        <w:pStyle w:val="14"/>
      </w:pPr>
      <w:r>
        <w:rPr>
          <w:rStyle w:val="24"/>
          <w:rFonts w:ascii="Times New Roman" w:hAnsi="Times New Roman" w:cs="Times New Roman"/>
        </w:rPr>
        <w:footnoteRef/>
      </w:r>
      <w:r>
        <w:rPr>
          <w:rFonts w:hint="eastAsia"/>
        </w:rPr>
        <w:t>按照单个</w:t>
      </w:r>
      <w:r>
        <w:rPr>
          <w:rFonts w:ascii="Times New Roman" w:hAnsi="Times New Roman" w:cs="Times New Roman"/>
        </w:rPr>
        <w:t>60kW</w:t>
      </w:r>
      <w:r>
        <w:rPr>
          <w:rFonts w:ascii="Times New Roman" w:cs="Times New Roman"/>
        </w:rPr>
        <w:t>直流充电桩综合建设成本为</w:t>
      </w:r>
      <w:r>
        <w:rPr>
          <w:rFonts w:ascii="Times New Roman" w:hAnsi="Times New Roman" w:cs="Times New Roman"/>
        </w:rPr>
        <w:t>8</w:t>
      </w:r>
      <w:r>
        <w:rPr>
          <w:rFonts w:ascii="Times New Roman" w:cs="Times New Roman"/>
        </w:rPr>
        <w:t>万元，充电设施利用率为</w:t>
      </w:r>
      <w:r>
        <w:rPr>
          <w:rFonts w:ascii="Times New Roman" w:hAnsi="Times New Roman" w:cs="Times New Roman"/>
        </w:rPr>
        <w:t>10%</w:t>
      </w:r>
      <w:r>
        <w:rPr>
          <w:rFonts w:ascii="Times New Roman" w:cs="Times New Roman"/>
        </w:rPr>
        <w:t>，充电服务费</w:t>
      </w:r>
      <w:r>
        <w:rPr>
          <w:rFonts w:ascii="Times New Roman" w:hAnsi="Times New Roman" w:cs="Times New Roman"/>
        </w:rPr>
        <w:t>0.4</w:t>
      </w:r>
      <w:r>
        <w:rPr>
          <w:rFonts w:ascii="Times New Roman" w:cs="Times New Roman"/>
        </w:rPr>
        <w:t>元</w:t>
      </w:r>
      <w:r>
        <w:rPr>
          <w:rFonts w:ascii="Times New Roman" w:hAnsi="Times New Roman" w:cs="Times New Roman"/>
        </w:rPr>
        <w:t>/</w:t>
      </w:r>
      <w:r>
        <w:rPr>
          <w:rFonts w:ascii="Times New Roman" w:cs="Times New Roman"/>
        </w:rPr>
        <w:t>度，不计人工成本</w:t>
      </w:r>
      <w:r>
        <w:rPr>
          <w:rFonts w:hint="eastAsia"/>
        </w:rPr>
        <w:t>。</w:t>
      </w:r>
    </w:p>
  </w:footnote>
  <w:footnote w:id="5">
    <w:p>
      <w:pPr>
        <w:pStyle w:val="14"/>
      </w:pPr>
      <w:r>
        <w:rPr>
          <w:rStyle w:val="24"/>
          <w:rFonts w:ascii="Times New Roman" w:hAnsi="Times New Roman" w:cs="Times New Roman"/>
        </w:rPr>
        <w:footnoteRef/>
      </w:r>
      <w:r>
        <w:rPr>
          <w:rFonts w:hint="eastAsia"/>
        </w:rPr>
        <w:t>该表数据来源于国家统计局网站</w:t>
      </w:r>
    </w:p>
  </w:footnote>
  <w:footnote w:id="6">
    <w:p>
      <w:pPr>
        <w:pStyle w:val="14"/>
      </w:pPr>
      <w:r>
        <w:rPr>
          <w:rStyle w:val="24"/>
          <w:rFonts w:ascii="Times New Roman" w:hAnsi="Times New Roman" w:cs="Times New Roman"/>
        </w:rPr>
        <w:footnoteRef/>
      </w:r>
      <w:r>
        <w:rPr>
          <w:rFonts w:hint="eastAsia"/>
        </w:rPr>
        <w:t>该表数据来源于国家统计局网站</w:t>
      </w:r>
    </w:p>
  </w:footnote>
  <w:footnote w:id="7">
    <w:p>
      <w:r>
        <w:rPr>
          <w:rStyle w:val="24"/>
          <w:rFonts w:ascii="Times New Roman" w:hAnsi="Times New Roman" w:cs="Times New Roman"/>
        </w:rPr>
        <w:footnoteRef/>
      </w:r>
      <w:r>
        <w:rPr>
          <w:rFonts w:ascii="Times New Roman" w:cs="Times New Roman"/>
          <w:sz w:val="18"/>
          <w:szCs w:val="18"/>
        </w:rPr>
        <w:t>国家《新能源汽车产业发展规划（</w:t>
      </w:r>
      <w:r>
        <w:rPr>
          <w:rFonts w:ascii="Times New Roman" w:hAnsi="Times New Roman" w:cs="Times New Roman"/>
          <w:sz w:val="18"/>
          <w:szCs w:val="18"/>
        </w:rPr>
        <w:t>2021—2035</w:t>
      </w:r>
      <w:r>
        <w:rPr>
          <w:rFonts w:ascii="Times New Roman" w:cs="Times New Roman"/>
          <w:sz w:val="18"/>
          <w:szCs w:val="18"/>
        </w:rPr>
        <w:t>年）》提出要继续坚持坚持电动化发展方向；同时根据中国汽车工业协会统计，</w:t>
      </w:r>
      <w:r>
        <w:rPr>
          <w:rFonts w:ascii="Times New Roman" w:hAnsi="Times New Roman" w:cs="Times New Roman"/>
          <w:sz w:val="18"/>
          <w:szCs w:val="18"/>
        </w:rPr>
        <w:t>2020</w:t>
      </w:r>
      <w:r>
        <w:rPr>
          <w:rFonts w:ascii="Times New Roman" w:cs="Times New Roman"/>
          <w:sz w:val="18"/>
          <w:szCs w:val="18"/>
        </w:rPr>
        <w:t>年前</w:t>
      </w:r>
      <w:r>
        <w:rPr>
          <w:rFonts w:ascii="Times New Roman" w:hAnsi="Times New Roman" w:cs="Times New Roman"/>
          <w:sz w:val="18"/>
          <w:szCs w:val="18"/>
        </w:rPr>
        <w:t>11</w:t>
      </w:r>
      <w:r>
        <w:rPr>
          <w:rFonts w:ascii="Times New Roman" w:cs="Times New Roman"/>
          <w:sz w:val="18"/>
          <w:szCs w:val="18"/>
        </w:rPr>
        <w:t>个月新能源汽车销量中纯电动汽车及插电式混合动力汽车销量占比达到</w:t>
      </w:r>
      <w:r>
        <w:rPr>
          <w:rFonts w:ascii="Times New Roman" w:hAnsi="Times New Roman" w:cs="Times New Roman"/>
          <w:sz w:val="18"/>
          <w:szCs w:val="18"/>
        </w:rPr>
        <w:t>99.91%</w:t>
      </w:r>
      <w:r>
        <w:rPr>
          <w:rFonts w:ascii="Times New Roman" w:cs="Times New Roman"/>
          <w:sz w:val="18"/>
          <w:szCs w:val="18"/>
        </w:rPr>
        <w:t>，因</w:t>
      </w:r>
      <w:r>
        <w:rPr>
          <w:rFonts w:hint="eastAsia"/>
          <w:sz w:val="18"/>
          <w:szCs w:val="18"/>
        </w:rPr>
        <w:t>此本文中预测分析中新能源汽车部分相关数据与电动汽车数据不做区分。</w:t>
      </w:r>
    </w:p>
  </w:footnote>
  <w:footnote w:id="8">
    <w:p>
      <w:pPr>
        <w:pStyle w:val="14"/>
      </w:pPr>
      <w:r>
        <w:rPr>
          <w:rStyle w:val="24"/>
          <w:rFonts w:ascii="Times New Roman" w:hAnsi="Times New Roman" w:cs="Times New Roman"/>
        </w:rPr>
        <w:footnoteRef/>
      </w:r>
      <w:r>
        <w:rPr>
          <w:rFonts w:hint="eastAsia"/>
        </w:rPr>
        <w:t>数据来源于陕西省统计年鉴</w:t>
      </w:r>
    </w:p>
  </w:footnote>
  <w:footnote w:id="9">
    <w:p>
      <w:pPr>
        <w:pStyle w:val="14"/>
      </w:pPr>
      <w:r>
        <w:rPr>
          <w:rStyle w:val="24"/>
          <w:rFonts w:ascii="Times New Roman" w:hAnsi="Times New Roman" w:cs="Times New Roman"/>
        </w:rPr>
        <w:footnoteRef/>
      </w:r>
      <w:r>
        <w:rPr>
          <w:rFonts w:hint="eastAsia"/>
        </w:rPr>
        <w:t>数据为调研掌握</w:t>
      </w:r>
    </w:p>
  </w:footnote>
  <w:footnote w:id="10">
    <w:p>
      <w:pPr>
        <w:pStyle w:val="14"/>
      </w:pPr>
      <w:r>
        <w:rPr>
          <w:rStyle w:val="24"/>
          <w:rFonts w:ascii="Times New Roman" w:hAnsi="Times New Roman" w:cs="Times New Roman"/>
        </w:rPr>
        <w:footnoteRef/>
      </w:r>
      <w:r>
        <w:rPr>
          <w:rFonts w:hint="eastAsia"/>
        </w:rPr>
        <w:t>数据来源于省工信厅</w:t>
      </w:r>
    </w:p>
  </w:footnote>
  <w:footnote w:id="11">
    <w:p>
      <w:pPr>
        <w:pStyle w:val="14"/>
      </w:pPr>
      <w:r>
        <w:rPr>
          <w:rStyle w:val="24"/>
          <w:rFonts w:ascii="Times New Roman" w:hAnsi="Times New Roman" w:cs="Times New Roman"/>
        </w:rPr>
        <w:footnoteRef/>
      </w:r>
      <w:r>
        <w:rPr>
          <w:rFonts w:hint="eastAsia"/>
        </w:rPr>
        <w:t>表中公交、出租、环卫车辆数据来源于省工信厅，其他车辆数据来源于调研。</w:t>
      </w:r>
    </w:p>
  </w:footnote>
  <w:footnote w:id="12">
    <w:p>
      <w:pPr>
        <w:pStyle w:val="14"/>
        <w:rPr>
          <w:rFonts w:ascii="Times New Roman" w:hAnsi="Times New Roman" w:cs="Times New Roman"/>
        </w:rPr>
      </w:pPr>
      <w:r>
        <w:rPr>
          <w:rStyle w:val="24"/>
          <w:rFonts w:ascii="Times New Roman" w:hAnsi="Times New Roman" w:cs="Times New Roman"/>
        </w:rPr>
        <w:footnoteRef/>
      </w:r>
      <w:r>
        <w:rPr>
          <w:rFonts w:hint="eastAsia"/>
        </w:rPr>
        <w:t>公交车每天</w:t>
      </w:r>
      <w:r>
        <w:rPr>
          <w:rFonts w:ascii="Times New Roman" w:cs="Times New Roman"/>
        </w:rPr>
        <w:t>一般晚上正常充电</w:t>
      </w:r>
      <w:r>
        <w:rPr>
          <w:rFonts w:ascii="Times New Roman" w:hAnsi="Times New Roman" w:cs="Times New Roman"/>
        </w:rPr>
        <w:t>1</w:t>
      </w:r>
      <w:r>
        <w:rPr>
          <w:rFonts w:ascii="Times New Roman" w:cs="Times New Roman"/>
        </w:rPr>
        <w:t>次，需</w:t>
      </w:r>
      <w:r>
        <w:rPr>
          <w:rFonts w:ascii="Times New Roman" w:hAnsi="Times New Roman" w:cs="Times New Roman"/>
        </w:rPr>
        <w:t>2</w:t>
      </w:r>
      <w:r>
        <w:rPr>
          <w:rFonts w:ascii="Times New Roman" w:cs="Times New Roman"/>
        </w:rPr>
        <w:t>小时</w:t>
      </w:r>
      <w:r>
        <w:rPr>
          <w:rFonts w:hint="eastAsia" w:ascii="Times New Roman" w:cs="Times New Roman"/>
        </w:rPr>
        <w:t>左右</w:t>
      </w:r>
      <w:r>
        <w:rPr>
          <w:rFonts w:ascii="Times New Roman" w:cs="Times New Roman"/>
        </w:rPr>
        <w:t>，白天根据需要补电一次，</w:t>
      </w:r>
      <w:r>
        <w:rPr>
          <w:rFonts w:hint="eastAsia" w:ascii="Times New Roman" w:cs="Times New Roman"/>
        </w:rPr>
        <w:t>根据调研了解，</w:t>
      </w:r>
      <w:r>
        <w:rPr>
          <w:rFonts w:ascii="Times New Roman" w:cs="Times New Roman"/>
        </w:rPr>
        <w:t>按照车桩比</w:t>
      </w:r>
      <w:r>
        <w:rPr>
          <w:rFonts w:hint="eastAsia" w:ascii="Times New Roman" w:hAnsi="Times New Roman" w:cs="Times New Roman"/>
        </w:rPr>
        <w:t>3</w:t>
      </w:r>
      <w:r>
        <w:rPr>
          <w:rFonts w:ascii="Times New Roman" w:hAnsi="Times New Roman" w:cs="Times New Roman"/>
        </w:rPr>
        <w:t>:1</w:t>
      </w:r>
      <w:r>
        <w:rPr>
          <w:rFonts w:ascii="Times New Roman" w:cs="Times New Roman"/>
        </w:rPr>
        <w:t>建设充电桩，能够公交车充电需求；其他车辆使用时长一般少于公交车，按照车桩比</w:t>
      </w:r>
      <w:r>
        <w:rPr>
          <w:rFonts w:hint="eastAsia" w:ascii="Times New Roman" w:hAnsi="Times New Roman" w:cs="Times New Roman"/>
        </w:rPr>
        <w:t>3</w:t>
      </w:r>
      <w:r>
        <w:rPr>
          <w:rFonts w:ascii="Times New Roman" w:hAnsi="Times New Roman" w:cs="Times New Roman"/>
        </w:rPr>
        <w:t>:1</w:t>
      </w:r>
      <w:r>
        <w:rPr>
          <w:rFonts w:ascii="Times New Roman" w:cs="Times New Roman"/>
        </w:rPr>
        <w:t>配置能够满足要求。</w:t>
      </w:r>
    </w:p>
  </w:footnote>
  <w:footnote w:id="13">
    <w:p>
      <w:pPr>
        <w:pStyle w:val="14"/>
        <w:rPr>
          <w:rFonts w:ascii="Times New Roman" w:hAnsi="Times New Roman" w:cs="Times New Roman"/>
        </w:rPr>
      </w:pPr>
      <w:r>
        <w:rPr>
          <w:rStyle w:val="24"/>
          <w:rFonts w:ascii="Times New Roman" w:hAnsi="Times New Roman" w:cs="Times New Roman"/>
        </w:rPr>
        <w:footnoteRef/>
      </w:r>
      <w:r>
        <w:rPr>
          <w:rFonts w:hint="eastAsia"/>
        </w:rPr>
        <w:t>考虑企事业单位乘用车日行驶里程若</w:t>
      </w:r>
      <w:r>
        <w:rPr>
          <w:rFonts w:ascii="Times New Roman" w:cs="Times New Roman"/>
        </w:rPr>
        <w:t>为</w:t>
      </w:r>
      <w:r>
        <w:rPr>
          <w:rFonts w:ascii="Times New Roman" w:hAnsi="Times New Roman" w:cs="Times New Roman"/>
        </w:rPr>
        <w:t>100km</w:t>
      </w:r>
      <w:r>
        <w:rPr>
          <w:rFonts w:ascii="Times New Roman" w:cs="Times New Roman"/>
        </w:rPr>
        <w:t>，消耗电量</w:t>
      </w:r>
      <w:r>
        <w:rPr>
          <w:rFonts w:ascii="Times New Roman" w:hAnsi="Times New Roman" w:cs="Times New Roman"/>
        </w:rPr>
        <w:t>20kWh</w:t>
      </w:r>
      <w:r>
        <w:rPr>
          <w:rFonts w:ascii="Times New Roman" w:cs="Times New Roman"/>
        </w:rPr>
        <w:t>左右，采用</w:t>
      </w:r>
      <w:r>
        <w:rPr>
          <w:rFonts w:ascii="Times New Roman" w:hAnsi="Times New Roman" w:cs="Times New Roman"/>
        </w:rPr>
        <w:t>7kW</w:t>
      </w:r>
      <w:r>
        <w:rPr>
          <w:rFonts w:ascii="Times New Roman" w:cs="Times New Roman"/>
        </w:rPr>
        <w:t>慢充需充电</w:t>
      </w:r>
      <w:r>
        <w:rPr>
          <w:rFonts w:ascii="Times New Roman" w:hAnsi="Times New Roman" w:cs="Times New Roman"/>
        </w:rPr>
        <w:t>3h</w:t>
      </w:r>
      <w:r>
        <w:rPr>
          <w:rFonts w:ascii="Times New Roman" w:cs="Times New Roman"/>
        </w:rPr>
        <w:t>，采用车桩比</w:t>
      </w:r>
      <w:r>
        <w:rPr>
          <w:rFonts w:ascii="Times New Roman" w:hAnsi="Times New Roman" w:cs="Times New Roman"/>
        </w:rPr>
        <w:t>2:1</w:t>
      </w:r>
      <w:r>
        <w:rPr>
          <w:rFonts w:ascii="Times New Roman" w:cs="Times New Roman"/>
        </w:rPr>
        <w:t>，充电能力较为充裕。</w:t>
      </w:r>
    </w:p>
  </w:footnote>
  <w:footnote w:id="14">
    <w:p>
      <w:pPr>
        <w:pStyle w:val="14"/>
        <w:rPr>
          <w:rFonts w:ascii="Times New Roman" w:hAnsi="Times New Roman" w:cs="Times New Roman"/>
        </w:rPr>
      </w:pPr>
      <w:r>
        <w:rPr>
          <w:rStyle w:val="24"/>
          <w:rFonts w:ascii="Times New Roman" w:hAnsi="Times New Roman" w:cs="Times New Roman"/>
        </w:rPr>
        <w:footnoteRef/>
      </w:r>
      <w:r>
        <w:rPr>
          <w:rFonts w:hint="eastAsia"/>
        </w:rPr>
        <w:t>直流快充桩单枪功率范围一般为</w:t>
      </w:r>
      <w:r>
        <w:rPr>
          <w:rFonts w:ascii="Times New Roman" w:hAnsi="Times New Roman" w:cs="Times New Roman"/>
        </w:rPr>
        <w:t>60-</w:t>
      </w:r>
      <w:r>
        <w:rPr>
          <w:rFonts w:hint="eastAsia" w:ascii="Times New Roman" w:hAnsi="Times New Roman" w:cs="Times New Roman"/>
        </w:rPr>
        <w:t>90</w:t>
      </w:r>
      <w:r>
        <w:rPr>
          <w:rFonts w:ascii="Times New Roman" w:hAnsi="Times New Roman" w:cs="Times New Roman"/>
        </w:rPr>
        <w:t>kW</w:t>
      </w:r>
      <w:r>
        <w:rPr>
          <w:rFonts w:hint="eastAsia" w:ascii="Times New Roman" w:hAnsi="Times New Roman" w:cs="Times New Roman"/>
        </w:rPr>
        <w:t>，报告中以60kW单枪直流快充桩为代表进行测算。</w:t>
      </w:r>
    </w:p>
  </w:footnote>
  <w:footnote w:id="15">
    <w:p>
      <w:pPr>
        <w:pStyle w:val="14"/>
      </w:pPr>
      <w:r>
        <w:rPr>
          <w:rStyle w:val="24"/>
          <w:rFonts w:ascii="Times New Roman" w:hAnsi="Times New Roman" w:cs="Times New Roman"/>
        </w:rPr>
        <w:footnoteRef/>
      </w:r>
      <w:r>
        <w:rPr>
          <w:rFonts w:ascii="Times New Roman" w:cs="Times New Roman"/>
        </w:rPr>
        <w:t>小功率直流快充桩一般功率范围为</w:t>
      </w:r>
      <w:r>
        <w:rPr>
          <w:rFonts w:ascii="Times New Roman" w:hAnsi="Times New Roman" w:cs="Times New Roman"/>
        </w:rPr>
        <w:t>20-40</w:t>
      </w:r>
      <w:r>
        <w:rPr>
          <w:rFonts w:hint="eastAsia" w:ascii="Times New Roman" w:hAnsi="Times New Roman" w:cs="Times New Roman"/>
        </w:rPr>
        <w:t>k</w:t>
      </w:r>
      <w:r>
        <w:rPr>
          <w:rFonts w:ascii="Times New Roman" w:hAnsi="Times New Roman" w:cs="Times New Roman"/>
        </w:rPr>
        <w:t>W</w:t>
      </w:r>
      <w:r>
        <w:rPr>
          <w:rFonts w:hint="eastAsia" w:ascii="Times New Roman" w:hAnsi="Times New Roman" w:cs="Times New Roman"/>
        </w:rPr>
        <w:t>，</w:t>
      </w:r>
      <w:r>
        <w:rPr>
          <w:rFonts w:ascii="Times New Roman" w:hAnsi="Times New Roman" w:cs="Times New Roman"/>
        </w:rPr>
        <w:t>报告中以</w:t>
      </w:r>
      <w:r>
        <w:rPr>
          <w:rFonts w:hint="eastAsia" w:ascii="Times New Roman" w:hAnsi="Times New Roman" w:cs="Times New Roman"/>
        </w:rPr>
        <w:t>20kW单枪小功率直流快充桩为代表进行测算。</w:t>
      </w:r>
    </w:p>
  </w:footnote>
  <w:footnote w:id="16">
    <w:p>
      <w:pPr>
        <w:pStyle w:val="14"/>
        <w:rPr>
          <w:rFonts w:ascii="Times New Roman" w:hAnsi="Times New Roman" w:cs="Times New Roman"/>
        </w:rPr>
      </w:pPr>
      <w:r>
        <w:rPr>
          <w:rStyle w:val="24"/>
          <w:rFonts w:ascii="Times New Roman" w:hAnsi="Times New Roman" w:cs="Times New Roman"/>
        </w:rPr>
        <w:footnoteRef/>
      </w:r>
      <w:r>
        <w:rPr>
          <w:rFonts w:ascii="Times New Roman" w:cs="Times New Roman"/>
        </w:rPr>
        <w:t>公交、客运充电站按照每座充电站含</w:t>
      </w:r>
      <w:r>
        <w:rPr>
          <w:rFonts w:ascii="Times New Roman" w:hAnsi="Times New Roman" w:cs="Times New Roman"/>
        </w:rPr>
        <w:t>35</w:t>
      </w:r>
      <w:r>
        <w:rPr>
          <w:rFonts w:ascii="Times New Roman" w:cs="Times New Roman"/>
        </w:rPr>
        <w:t>根单枪充电桩的标准充电站考虑，环卫、其他车辆充电站按照每座充电站含</w:t>
      </w:r>
      <w:r>
        <w:rPr>
          <w:rFonts w:ascii="Times New Roman" w:hAnsi="Times New Roman" w:cs="Times New Roman"/>
        </w:rPr>
        <w:t>15</w:t>
      </w:r>
      <w:r>
        <w:rPr>
          <w:rFonts w:ascii="Times New Roman" w:cs="Times New Roman"/>
        </w:rPr>
        <w:t>根单枪充电桩的标准充电站考虑，建设时可根据实际情况确定单站规模，并保持各类充电桩总数量不变。</w:t>
      </w:r>
    </w:p>
  </w:footnote>
  <w:footnote w:id="17">
    <w:p>
      <w:pPr>
        <w:pStyle w:val="14"/>
      </w:pPr>
      <w:r>
        <w:rPr>
          <w:rStyle w:val="24"/>
          <w:rFonts w:ascii="Times New Roman" w:hAnsi="Times New Roman" w:cs="Times New Roman"/>
        </w:rPr>
        <w:footnoteRef/>
      </w:r>
      <w:r>
        <w:rPr>
          <w:rFonts w:hint="eastAsia"/>
        </w:rPr>
        <w:t>不含土地及电网接入费用</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4"/>
    </o:shapelayout>
  </w:hdrShapeDefaults>
  <w:footnotePr>
    <w:footnote w:id="36"/>
    <w:footnote w:id="37"/>
  </w:footnotePr>
  <w:compat>
    <w:spaceForUL/>
    <w:balanceSingleByteDoubleByteWidth/>
    <w:doNotLeaveBackslashAlone/>
    <w:ulTrailSpace/>
    <w:doNotExpandShiftReturn/>
    <w:adjustLineHeightInTable/>
    <w:useFELayout/>
    <w:compatSetting w:name="compatibilityMode" w:uri="http://schemas.microsoft.com/office/word" w:val="12"/>
  </w:compat>
  <w:rsids>
    <w:rsidRoot w:val="02BC7B74"/>
    <w:rsid w:val="00000188"/>
    <w:rsid w:val="00001879"/>
    <w:rsid w:val="0000220F"/>
    <w:rsid w:val="0000466F"/>
    <w:rsid w:val="00004C38"/>
    <w:rsid w:val="00006148"/>
    <w:rsid w:val="00007216"/>
    <w:rsid w:val="0001043D"/>
    <w:rsid w:val="00012B63"/>
    <w:rsid w:val="00012C8C"/>
    <w:rsid w:val="000142B6"/>
    <w:rsid w:val="00015571"/>
    <w:rsid w:val="00016837"/>
    <w:rsid w:val="00016B3E"/>
    <w:rsid w:val="000202E0"/>
    <w:rsid w:val="000205DB"/>
    <w:rsid w:val="00020B90"/>
    <w:rsid w:val="000242DE"/>
    <w:rsid w:val="00026B8A"/>
    <w:rsid w:val="00026D20"/>
    <w:rsid w:val="00026F59"/>
    <w:rsid w:val="00031BEC"/>
    <w:rsid w:val="00032EC1"/>
    <w:rsid w:val="0003483E"/>
    <w:rsid w:val="000349F8"/>
    <w:rsid w:val="00034E7D"/>
    <w:rsid w:val="00035F94"/>
    <w:rsid w:val="00036C07"/>
    <w:rsid w:val="00041B98"/>
    <w:rsid w:val="00041D03"/>
    <w:rsid w:val="0004294C"/>
    <w:rsid w:val="000446F9"/>
    <w:rsid w:val="00044AEA"/>
    <w:rsid w:val="00044D85"/>
    <w:rsid w:val="00046245"/>
    <w:rsid w:val="00046A27"/>
    <w:rsid w:val="00047894"/>
    <w:rsid w:val="00047AF1"/>
    <w:rsid w:val="00050687"/>
    <w:rsid w:val="00050B97"/>
    <w:rsid w:val="00052D49"/>
    <w:rsid w:val="00055BA7"/>
    <w:rsid w:val="00055EC6"/>
    <w:rsid w:val="00057938"/>
    <w:rsid w:val="00060805"/>
    <w:rsid w:val="0006213D"/>
    <w:rsid w:val="000632CD"/>
    <w:rsid w:val="00063F16"/>
    <w:rsid w:val="00064087"/>
    <w:rsid w:val="000662CB"/>
    <w:rsid w:val="00067E02"/>
    <w:rsid w:val="00071507"/>
    <w:rsid w:val="00071D54"/>
    <w:rsid w:val="00073CCD"/>
    <w:rsid w:val="000757B7"/>
    <w:rsid w:val="0007636F"/>
    <w:rsid w:val="00076993"/>
    <w:rsid w:val="0007775F"/>
    <w:rsid w:val="0008303B"/>
    <w:rsid w:val="00083382"/>
    <w:rsid w:val="000837FB"/>
    <w:rsid w:val="00083DFE"/>
    <w:rsid w:val="00086D69"/>
    <w:rsid w:val="00087785"/>
    <w:rsid w:val="00091723"/>
    <w:rsid w:val="00093672"/>
    <w:rsid w:val="0009480A"/>
    <w:rsid w:val="0009649E"/>
    <w:rsid w:val="00096E70"/>
    <w:rsid w:val="000A0365"/>
    <w:rsid w:val="000A218D"/>
    <w:rsid w:val="000A254C"/>
    <w:rsid w:val="000A3FB0"/>
    <w:rsid w:val="000A4C86"/>
    <w:rsid w:val="000A58A3"/>
    <w:rsid w:val="000A7A5D"/>
    <w:rsid w:val="000A7B8C"/>
    <w:rsid w:val="000B11C8"/>
    <w:rsid w:val="000B2A7E"/>
    <w:rsid w:val="000B2D67"/>
    <w:rsid w:val="000B3630"/>
    <w:rsid w:val="000B6255"/>
    <w:rsid w:val="000B7A81"/>
    <w:rsid w:val="000C109E"/>
    <w:rsid w:val="000C129C"/>
    <w:rsid w:val="000C2013"/>
    <w:rsid w:val="000C3330"/>
    <w:rsid w:val="000C4B71"/>
    <w:rsid w:val="000C5F9D"/>
    <w:rsid w:val="000C66C3"/>
    <w:rsid w:val="000D0082"/>
    <w:rsid w:val="000D1465"/>
    <w:rsid w:val="000D162F"/>
    <w:rsid w:val="000D434A"/>
    <w:rsid w:val="000D49D0"/>
    <w:rsid w:val="000D4CF5"/>
    <w:rsid w:val="000D5E28"/>
    <w:rsid w:val="000D5ED0"/>
    <w:rsid w:val="000E2082"/>
    <w:rsid w:val="000E25E2"/>
    <w:rsid w:val="000E2BC9"/>
    <w:rsid w:val="000E2FB2"/>
    <w:rsid w:val="000E52B2"/>
    <w:rsid w:val="000E5D88"/>
    <w:rsid w:val="000E5EC0"/>
    <w:rsid w:val="000E6B41"/>
    <w:rsid w:val="000E72D8"/>
    <w:rsid w:val="000F11B9"/>
    <w:rsid w:val="000F145E"/>
    <w:rsid w:val="000F15C6"/>
    <w:rsid w:val="000F39AF"/>
    <w:rsid w:val="000F39EF"/>
    <w:rsid w:val="000F412F"/>
    <w:rsid w:val="000F4EF4"/>
    <w:rsid w:val="000F5108"/>
    <w:rsid w:val="000F57F5"/>
    <w:rsid w:val="000F5845"/>
    <w:rsid w:val="000F5C97"/>
    <w:rsid w:val="000F5E1B"/>
    <w:rsid w:val="000F6D13"/>
    <w:rsid w:val="00100F60"/>
    <w:rsid w:val="001041AA"/>
    <w:rsid w:val="00110BE2"/>
    <w:rsid w:val="001135E8"/>
    <w:rsid w:val="001148A0"/>
    <w:rsid w:val="00114DB1"/>
    <w:rsid w:val="00116F5F"/>
    <w:rsid w:val="001210B3"/>
    <w:rsid w:val="00122D3D"/>
    <w:rsid w:val="0012411F"/>
    <w:rsid w:val="00124BBE"/>
    <w:rsid w:val="00125C9F"/>
    <w:rsid w:val="001307BE"/>
    <w:rsid w:val="0013137C"/>
    <w:rsid w:val="00131A25"/>
    <w:rsid w:val="00132CFF"/>
    <w:rsid w:val="0013338F"/>
    <w:rsid w:val="00133D20"/>
    <w:rsid w:val="00134D5C"/>
    <w:rsid w:val="00135566"/>
    <w:rsid w:val="00135E70"/>
    <w:rsid w:val="0014091E"/>
    <w:rsid w:val="001429B8"/>
    <w:rsid w:val="00143061"/>
    <w:rsid w:val="00143B3C"/>
    <w:rsid w:val="001447CF"/>
    <w:rsid w:val="001452BA"/>
    <w:rsid w:val="0014734C"/>
    <w:rsid w:val="00150026"/>
    <w:rsid w:val="001501EC"/>
    <w:rsid w:val="00152BC4"/>
    <w:rsid w:val="00153465"/>
    <w:rsid w:val="00155326"/>
    <w:rsid w:val="0016007A"/>
    <w:rsid w:val="001603CF"/>
    <w:rsid w:val="0016098B"/>
    <w:rsid w:val="00162682"/>
    <w:rsid w:val="00164069"/>
    <w:rsid w:val="0016436D"/>
    <w:rsid w:val="00164E81"/>
    <w:rsid w:val="00166E2E"/>
    <w:rsid w:val="00170252"/>
    <w:rsid w:val="001726EC"/>
    <w:rsid w:val="001769C4"/>
    <w:rsid w:val="00177F71"/>
    <w:rsid w:val="001804DB"/>
    <w:rsid w:val="001818CB"/>
    <w:rsid w:val="00181965"/>
    <w:rsid w:val="0018342C"/>
    <w:rsid w:val="00184E44"/>
    <w:rsid w:val="001861C3"/>
    <w:rsid w:val="00186204"/>
    <w:rsid w:val="001869FD"/>
    <w:rsid w:val="00186A0A"/>
    <w:rsid w:val="00190359"/>
    <w:rsid w:val="0019168A"/>
    <w:rsid w:val="001917A3"/>
    <w:rsid w:val="00191BB7"/>
    <w:rsid w:val="00193050"/>
    <w:rsid w:val="001936EC"/>
    <w:rsid w:val="00194064"/>
    <w:rsid w:val="0019652C"/>
    <w:rsid w:val="00196F57"/>
    <w:rsid w:val="00197571"/>
    <w:rsid w:val="001A1859"/>
    <w:rsid w:val="001A18B8"/>
    <w:rsid w:val="001A2C43"/>
    <w:rsid w:val="001A2FEE"/>
    <w:rsid w:val="001A3991"/>
    <w:rsid w:val="001A3AE0"/>
    <w:rsid w:val="001A45CD"/>
    <w:rsid w:val="001A5107"/>
    <w:rsid w:val="001B0B61"/>
    <w:rsid w:val="001B2430"/>
    <w:rsid w:val="001B25DF"/>
    <w:rsid w:val="001B2B34"/>
    <w:rsid w:val="001B2E3A"/>
    <w:rsid w:val="001B77C0"/>
    <w:rsid w:val="001B7975"/>
    <w:rsid w:val="001C0213"/>
    <w:rsid w:val="001C0ABC"/>
    <w:rsid w:val="001C16B8"/>
    <w:rsid w:val="001C3D03"/>
    <w:rsid w:val="001C3EAB"/>
    <w:rsid w:val="001C4CF1"/>
    <w:rsid w:val="001D0B51"/>
    <w:rsid w:val="001D0DC7"/>
    <w:rsid w:val="001D193A"/>
    <w:rsid w:val="001D2061"/>
    <w:rsid w:val="001D314E"/>
    <w:rsid w:val="001D3FFE"/>
    <w:rsid w:val="001D752D"/>
    <w:rsid w:val="001E02DA"/>
    <w:rsid w:val="001E07B7"/>
    <w:rsid w:val="001E3FE4"/>
    <w:rsid w:val="001E6909"/>
    <w:rsid w:val="001F0492"/>
    <w:rsid w:val="001F363B"/>
    <w:rsid w:val="001F3D28"/>
    <w:rsid w:val="001F6388"/>
    <w:rsid w:val="001F6686"/>
    <w:rsid w:val="001F6E2A"/>
    <w:rsid w:val="001F7816"/>
    <w:rsid w:val="00200502"/>
    <w:rsid w:val="002010CC"/>
    <w:rsid w:val="002015FA"/>
    <w:rsid w:val="0020466F"/>
    <w:rsid w:val="00204777"/>
    <w:rsid w:val="0020531D"/>
    <w:rsid w:val="0020739C"/>
    <w:rsid w:val="002122A2"/>
    <w:rsid w:val="002123BD"/>
    <w:rsid w:val="002126F7"/>
    <w:rsid w:val="00213C87"/>
    <w:rsid w:val="00215F73"/>
    <w:rsid w:val="00217D01"/>
    <w:rsid w:val="00217D0C"/>
    <w:rsid w:val="00220416"/>
    <w:rsid w:val="0022169C"/>
    <w:rsid w:val="00222137"/>
    <w:rsid w:val="0022422D"/>
    <w:rsid w:val="00224BFC"/>
    <w:rsid w:val="002274EB"/>
    <w:rsid w:val="00227AD5"/>
    <w:rsid w:val="00230334"/>
    <w:rsid w:val="00232267"/>
    <w:rsid w:val="00236A0D"/>
    <w:rsid w:val="00237291"/>
    <w:rsid w:val="00240CA4"/>
    <w:rsid w:val="002417FC"/>
    <w:rsid w:val="00241F73"/>
    <w:rsid w:val="00243023"/>
    <w:rsid w:val="0024385A"/>
    <w:rsid w:val="00243C16"/>
    <w:rsid w:val="00245495"/>
    <w:rsid w:val="00245E1D"/>
    <w:rsid w:val="0024631D"/>
    <w:rsid w:val="00250F86"/>
    <w:rsid w:val="00251167"/>
    <w:rsid w:val="00251D35"/>
    <w:rsid w:val="002522F6"/>
    <w:rsid w:val="0025336D"/>
    <w:rsid w:val="002557F8"/>
    <w:rsid w:val="0025664E"/>
    <w:rsid w:val="0025702B"/>
    <w:rsid w:val="00260EA8"/>
    <w:rsid w:val="002611C7"/>
    <w:rsid w:val="00262262"/>
    <w:rsid w:val="0026242B"/>
    <w:rsid w:val="00262F34"/>
    <w:rsid w:val="00263997"/>
    <w:rsid w:val="00264508"/>
    <w:rsid w:val="0026537C"/>
    <w:rsid w:val="0026630E"/>
    <w:rsid w:val="002719A0"/>
    <w:rsid w:val="002722F9"/>
    <w:rsid w:val="0027352D"/>
    <w:rsid w:val="002738E4"/>
    <w:rsid w:val="00274C99"/>
    <w:rsid w:val="00276715"/>
    <w:rsid w:val="0027708F"/>
    <w:rsid w:val="002773E6"/>
    <w:rsid w:val="00277785"/>
    <w:rsid w:val="00280947"/>
    <w:rsid w:val="0028118E"/>
    <w:rsid w:val="0028152E"/>
    <w:rsid w:val="00282B66"/>
    <w:rsid w:val="00283528"/>
    <w:rsid w:val="00283BB5"/>
    <w:rsid w:val="00284185"/>
    <w:rsid w:val="00286053"/>
    <w:rsid w:val="00286ED2"/>
    <w:rsid w:val="00291BE6"/>
    <w:rsid w:val="00292F99"/>
    <w:rsid w:val="0029354E"/>
    <w:rsid w:val="00293668"/>
    <w:rsid w:val="002938AF"/>
    <w:rsid w:val="00296E6D"/>
    <w:rsid w:val="00297F4B"/>
    <w:rsid w:val="002A1D2A"/>
    <w:rsid w:val="002A3BED"/>
    <w:rsid w:val="002A514F"/>
    <w:rsid w:val="002A5F0A"/>
    <w:rsid w:val="002A6661"/>
    <w:rsid w:val="002A709E"/>
    <w:rsid w:val="002A7E70"/>
    <w:rsid w:val="002B0C31"/>
    <w:rsid w:val="002B2390"/>
    <w:rsid w:val="002B645F"/>
    <w:rsid w:val="002C1BCB"/>
    <w:rsid w:val="002C3D38"/>
    <w:rsid w:val="002C41F0"/>
    <w:rsid w:val="002C50A6"/>
    <w:rsid w:val="002C6F04"/>
    <w:rsid w:val="002C6FBB"/>
    <w:rsid w:val="002C7316"/>
    <w:rsid w:val="002C73D7"/>
    <w:rsid w:val="002C7807"/>
    <w:rsid w:val="002D1034"/>
    <w:rsid w:val="002D1799"/>
    <w:rsid w:val="002D27C8"/>
    <w:rsid w:val="002D46B2"/>
    <w:rsid w:val="002D4883"/>
    <w:rsid w:val="002D490A"/>
    <w:rsid w:val="002D528D"/>
    <w:rsid w:val="002D580F"/>
    <w:rsid w:val="002D6F50"/>
    <w:rsid w:val="002E0010"/>
    <w:rsid w:val="002E0B9C"/>
    <w:rsid w:val="002E1215"/>
    <w:rsid w:val="002E1DAE"/>
    <w:rsid w:val="002E47DD"/>
    <w:rsid w:val="002F057B"/>
    <w:rsid w:val="002F1BA8"/>
    <w:rsid w:val="002F2B62"/>
    <w:rsid w:val="002F2F37"/>
    <w:rsid w:val="002F39F4"/>
    <w:rsid w:val="002F6117"/>
    <w:rsid w:val="00300394"/>
    <w:rsid w:val="00302A29"/>
    <w:rsid w:val="00303D88"/>
    <w:rsid w:val="00304780"/>
    <w:rsid w:val="00304D16"/>
    <w:rsid w:val="00305C78"/>
    <w:rsid w:val="0031112F"/>
    <w:rsid w:val="003128E7"/>
    <w:rsid w:val="00313A14"/>
    <w:rsid w:val="00313F6C"/>
    <w:rsid w:val="00321704"/>
    <w:rsid w:val="003217AF"/>
    <w:rsid w:val="003224CF"/>
    <w:rsid w:val="00322BF7"/>
    <w:rsid w:val="0032348B"/>
    <w:rsid w:val="003240ED"/>
    <w:rsid w:val="003245B3"/>
    <w:rsid w:val="00324B32"/>
    <w:rsid w:val="00324F70"/>
    <w:rsid w:val="00326D89"/>
    <w:rsid w:val="00326FC6"/>
    <w:rsid w:val="00327EDD"/>
    <w:rsid w:val="00331052"/>
    <w:rsid w:val="0033196F"/>
    <w:rsid w:val="003320EE"/>
    <w:rsid w:val="003322AE"/>
    <w:rsid w:val="00332A3A"/>
    <w:rsid w:val="003334AF"/>
    <w:rsid w:val="00336C04"/>
    <w:rsid w:val="0033753D"/>
    <w:rsid w:val="003375D7"/>
    <w:rsid w:val="00342F34"/>
    <w:rsid w:val="003440B3"/>
    <w:rsid w:val="00346169"/>
    <w:rsid w:val="0035265E"/>
    <w:rsid w:val="003536B0"/>
    <w:rsid w:val="003537F2"/>
    <w:rsid w:val="00354DAB"/>
    <w:rsid w:val="003554D7"/>
    <w:rsid w:val="00355B7B"/>
    <w:rsid w:val="00360097"/>
    <w:rsid w:val="003632E7"/>
    <w:rsid w:val="00366454"/>
    <w:rsid w:val="00366739"/>
    <w:rsid w:val="00371151"/>
    <w:rsid w:val="0037210B"/>
    <w:rsid w:val="00376866"/>
    <w:rsid w:val="00376CAA"/>
    <w:rsid w:val="003802E0"/>
    <w:rsid w:val="00381C5E"/>
    <w:rsid w:val="003856BC"/>
    <w:rsid w:val="00385CD5"/>
    <w:rsid w:val="00386AB5"/>
    <w:rsid w:val="00386DA3"/>
    <w:rsid w:val="003907C4"/>
    <w:rsid w:val="003923E9"/>
    <w:rsid w:val="00394811"/>
    <w:rsid w:val="00394D24"/>
    <w:rsid w:val="003A1B06"/>
    <w:rsid w:val="003A3EAE"/>
    <w:rsid w:val="003A41E5"/>
    <w:rsid w:val="003A4D83"/>
    <w:rsid w:val="003A69A7"/>
    <w:rsid w:val="003A6C46"/>
    <w:rsid w:val="003A7545"/>
    <w:rsid w:val="003B0405"/>
    <w:rsid w:val="003B630F"/>
    <w:rsid w:val="003B71EF"/>
    <w:rsid w:val="003B76D5"/>
    <w:rsid w:val="003B788C"/>
    <w:rsid w:val="003B7DF4"/>
    <w:rsid w:val="003C07B0"/>
    <w:rsid w:val="003C114A"/>
    <w:rsid w:val="003C22BA"/>
    <w:rsid w:val="003C25F3"/>
    <w:rsid w:val="003C276A"/>
    <w:rsid w:val="003C35CB"/>
    <w:rsid w:val="003C35D9"/>
    <w:rsid w:val="003C4502"/>
    <w:rsid w:val="003C4E61"/>
    <w:rsid w:val="003D07B9"/>
    <w:rsid w:val="003D1863"/>
    <w:rsid w:val="003D1A01"/>
    <w:rsid w:val="003D1A63"/>
    <w:rsid w:val="003D3081"/>
    <w:rsid w:val="003D420A"/>
    <w:rsid w:val="003D4A7B"/>
    <w:rsid w:val="003D52F3"/>
    <w:rsid w:val="003E0169"/>
    <w:rsid w:val="003E0740"/>
    <w:rsid w:val="003E1C18"/>
    <w:rsid w:val="003E3158"/>
    <w:rsid w:val="003E3ED3"/>
    <w:rsid w:val="003E6676"/>
    <w:rsid w:val="003E7FE2"/>
    <w:rsid w:val="003F01C9"/>
    <w:rsid w:val="003F0F07"/>
    <w:rsid w:val="003F15BD"/>
    <w:rsid w:val="003F1703"/>
    <w:rsid w:val="003F1EAB"/>
    <w:rsid w:val="003F2895"/>
    <w:rsid w:val="003F3EF1"/>
    <w:rsid w:val="003F75BC"/>
    <w:rsid w:val="00400486"/>
    <w:rsid w:val="00400DA8"/>
    <w:rsid w:val="004015D9"/>
    <w:rsid w:val="00402A87"/>
    <w:rsid w:val="004068CD"/>
    <w:rsid w:val="00406923"/>
    <w:rsid w:val="00406C8D"/>
    <w:rsid w:val="004104CF"/>
    <w:rsid w:val="00410AA1"/>
    <w:rsid w:val="00410EEE"/>
    <w:rsid w:val="0041158A"/>
    <w:rsid w:val="00412239"/>
    <w:rsid w:val="00412C39"/>
    <w:rsid w:val="0041376D"/>
    <w:rsid w:val="00413BFD"/>
    <w:rsid w:val="00414666"/>
    <w:rsid w:val="00415334"/>
    <w:rsid w:val="00415D7C"/>
    <w:rsid w:val="00416168"/>
    <w:rsid w:val="004170B1"/>
    <w:rsid w:val="00421312"/>
    <w:rsid w:val="00421D5E"/>
    <w:rsid w:val="00421DBE"/>
    <w:rsid w:val="00422F85"/>
    <w:rsid w:val="00424A27"/>
    <w:rsid w:val="004251C9"/>
    <w:rsid w:val="0042547F"/>
    <w:rsid w:val="00425BFB"/>
    <w:rsid w:val="004260FE"/>
    <w:rsid w:val="00426715"/>
    <w:rsid w:val="004315D2"/>
    <w:rsid w:val="00431AB0"/>
    <w:rsid w:val="0043394C"/>
    <w:rsid w:val="00435F2D"/>
    <w:rsid w:val="004365A0"/>
    <w:rsid w:val="004416DF"/>
    <w:rsid w:val="00441AC2"/>
    <w:rsid w:val="00442A42"/>
    <w:rsid w:val="00442B8C"/>
    <w:rsid w:val="00443B95"/>
    <w:rsid w:val="004440C7"/>
    <w:rsid w:val="004454AD"/>
    <w:rsid w:val="004504F2"/>
    <w:rsid w:val="00450EC3"/>
    <w:rsid w:val="00453329"/>
    <w:rsid w:val="004539E3"/>
    <w:rsid w:val="00453BC7"/>
    <w:rsid w:val="0045500F"/>
    <w:rsid w:val="004572AC"/>
    <w:rsid w:val="00457727"/>
    <w:rsid w:val="0046027C"/>
    <w:rsid w:val="00460CFA"/>
    <w:rsid w:val="00465355"/>
    <w:rsid w:val="004670DC"/>
    <w:rsid w:val="00472C5B"/>
    <w:rsid w:val="00472DD6"/>
    <w:rsid w:val="00473E2D"/>
    <w:rsid w:val="00474CDA"/>
    <w:rsid w:val="00476255"/>
    <w:rsid w:val="004775AE"/>
    <w:rsid w:val="00480494"/>
    <w:rsid w:val="0048311A"/>
    <w:rsid w:val="0048329F"/>
    <w:rsid w:val="00484C50"/>
    <w:rsid w:val="004853D0"/>
    <w:rsid w:val="004872C5"/>
    <w:rsid w:val="004873E9"/>
    <w:rsid w:val="00487918"/>
    <w:rsid w:val="004908CA"/>
    <w:rsid w:val="00491360"/>
    <w:rsid w:val="004916CE"/>
    <w:rsid w:val="00495CBB"/>
    <w:rsid w:val="00496A80"/>
    <w:rsid w:val="004A0592"/>
    <w:rsid w:val="004A109B"/>
    <w:rsid w:val="004A2199"/>
    <w:rsid w:val="004A2EE5"/>
    <w:rsid w:val="004A4DD9"/>
    <w:rsid w:val="004A4E86"/>
    <w:rsid w:val="004A7E08"/>
    <w:rsid w:val="004B3826"/>
    <w:rsid w:val="004B389F"/>
    <w:rsid w:val="004B41A9"/>
    <w:rsid w:val="004B5338"/>
    <w:rsid w:val="004C048F"/>
    <w:rsid w:val="004C313D"/>
    <w:rsid w:val="004C413A"/>
    <w:rsid w:val="004C5DDF"/>
    <w:rsid w:val="004C65EA"/>
    <w:rsid w:val="004D3519"/>
    <w:rsid w:val="004D4B25"/>
    <w:rsid w:val="004D5B6F"/>
    <w:rsid w:val="004D6205"/>
    <w:rsid w:val="004D6208"/>
    <w:rsid w:val="004D654B"/>
    <w:rsid w:val="004D66C1"/>
    <w:rsid w:val="004D6E8C"/>
    <w:rsid w:val="004E06C4"/>
    <w:rsid w:val="004E08EC"/>
    <w:rsid w:val="004E1770"/>
    <w:rsid w:val="004E2BBF"/>
    <w:rsid w:val="004E360C"/>
    <w:rsid w:val="004E3F3E"/>
    <w:rsid w:val="004E431D"/>
    <w:rsid w:val="004E7D6D"/>
    <w:rsid w:val="004E7DAF"/>
    <w:rsid w:val="004F0067"/>
    <w:rsid w:val="004F0DFF"/>
    <w:rsid w:val="004F1F9F"/>
    <w:rsid w:val="004F22A8"/>
    <w:rsid w:val="004F265E"/>
    <w:rsid w:val="004F35DE"/>
    <w:rsid w:val="004F3C42"/>
    <w:rsid w:val="004F45B4"/>
    <w:rsid w:val="004F490C"/>
    <w:rsid w:val="004F4DF5"/>
    <w:rsid w:val="004F4FA9"/>
    <w:rsid w:val="004F5AA9"/>
    <w:rsid w:val="004F72E6"/>
    <w:rsid w:val="004F7A9F"/>
    <w:rsid w:val="0050162D"/>
    <w:rsid w:val="00502F55"/>
    <w:rsid w:val="00503344"/>
    <w:rsid w:val="00504289"/>
    <w:rsid w:val="00504C3D"/>
    <w:rsid w:val="005060A4"/>
    <w:rsid w:val="00506197"/>
    <w:rsid w:val="00507774"/>
    <w:rsid w:val="005078E9"/>
    <w:rsid w:val="00507E2B"/>
    <w:rsid w:val="00510458"/>
    <w:rsid w:val="00511483"/>
    <w:rsid w:val="005114E8"/>
    <w:rsid w:val="00512ED8"/>
    <w:rsid w:val="0051411E"/>
    <w:rsid w:val="005141C1"/>
    <w:rsid w:val="005147CC"/>
    <w:rsid w:val="005153D5"/>
    <w:rsid w:val="005166E9"/>
    <w:rsid w:val="00517ED1"/>
    <w:rsid w:val="00523368"/>
    <w:rsid w:val="005234A2"/>
    <w:rsid w:val="00523A76"/>
    <w:rsid w:val="00523C45"/>
    <w:rsid w:val="0053088F"/>
    <w:rsid w:val="00531FE1"/>
    <w:rsid w:val="00532473"/>
    <w:rsid w:val="005327CD"/>
    <w:rsid w:val="00532837"/>
    <w:rsid w:val="00533BBB"/>
    <w:rsid w:val="00534258"/>
    <w:rsid w:val="005342DB"/>
    <w:rsid w:val="005346D4"/>
    <w:rsid w:val="00537179"/>
    <w:rsid w:val="00537753"/>
    <w:rsid w:val="0053799E"/>
    <w:rsid w:val="00540D4A"/>
    <w:rsid w:val="00543C9E"/>
    <w:rsid w:val="005458D3"/>
    <w:rsid w:val="0054689F"/>
    <w:rsid w:val="005468C3"/>
    <w:rsid w:val="00547522"/>
    <w:rsid w:val="0055100B"/>
    <w:rsid w:val="005533C6"/>
    <w:rsid w:val="005538FB"/>
    <w:rsid w:val="0055600D"/>
    <w:rsid w:val="00556029"/>
    <w:rsid w:val="005567BB"/>
    <w:rsid w:val="00556E4C"/>
    <w:rsid w:val="0056096D"/>
    <w:rsid w:val="00560E55"/>
    <w:rsid w:val="00561A16"/>
    <w:rsid w:val="005627AA"/>
    <w:rsid w:val="0056400C"/>
    <w:rsid w:val="0056459F"/>
    <w:rsid w:val="00566118"/>
    <w:rsid w:val="00566E44"/>
    <w:rsid w:val="00567E18"/>
    <w:rsid w:val="00570FF1"/>
    <w:rsid w:val="0057258E"/>
    <w:rsid w:val="005747F9"/>
    <w:rsid w:val="005749F7"/>
    <w:rsid w:val="00580ECD"/>
    <w:rsid w:val="00581E9A"/>
    <w:rsid w:val="005826C9"/>
    <w:rsid w:val="00582A18"/>
    <w:rsid w:val="005832D7"/>
    <w:rsid w:val="005834EC"/>
    <w:rsid w:val="00583D4B"/>
    <w:rsid w:val="00587933"/>
    <w:rsid w:val="005901E4"/>
    <w:rsid w:val="00590A11"/>
    <w:rsid w:val="00591AEC"/>
    <w:rsid w:val="00591D0E"/>
    <w:rsid w:val="00592ACF"/>
    <w:rsid w:val="00594B72"/>
    <w:rsid w:val="00594EC7"/>
    <w:rsid w:val="00595B10"/>
    <w:rsid w:val="00595F71"/>
    <w:rsid w:val="005A215C"/>
    <w:rsid w:val="005A2323"/>
    <w:rsid w:val="005A3054"/>
    <w:rsid w:val="005A39CB"/>
    <w:rsid w:val="005A7CB3"/>
    <w:rsid w:val="005B0830"/>
    <w:rsid w:val="005B0ACE"/>
    <w:rsid w:val="005B0F26"/>
    <w:rsid w:val="005B10FF"/>
    <w:rsid w:val="005B2A3B"/>
    <w:rsid w:val="005B325F"/>
    <w:rsid w:val="005C00AA"/>
    <w:rsid w:val="005C15C5"/>
    <w:rsid w:val="005C32D3"/>
    <w:rsid w:val="005C43D8"/>
    <w:rsid w:val="005D0A03"/>
    <w:rsid w:val="005D164F"/>
    <w:rsid w:val="005D1A37"/>
    <w:rsid w:val="005D26AA"/>
    <w:rsid w:val="005D50D1"/>
    <w:rsid w:val="005D5790"/>
    <w:rsid w:val="005D6398"/>
    <w:rsid w:val="005E260E"/>
    <w:rsid w:val="005E44A9"/>
    <w:rsid w:val="005E4534"/>
    <w:rsid w:val="005E5B8D"/>
    <w:rsid w:val="005E616D"/>
    <w:rsid w:val="005E7C77"/>
    <w:rsid w:val="005F0624"/>
    <w:rsid w:val="005F0916"/>
    <w:rsid w:val="005F1F83"/>
    <w:rsid w:val="005F2925"/>
    <w:rsid w:val="005F2978"/>
    <w:rsid w:val="005F30DA"/>
    <w:rsid w:val="005F3F2C"/>
    <w:rsid w:val="005F4E6B"/>
    <w:rsid w:val="005F6C77"/>
    <w:rsid w:val="0060011A"/>
    <w:rsid w:val="00600F46"/>
    <w:rsid w:val="00602476"/>
    <w:rsid w:val="00602E1D"/>
    <w:rsid w:val="006042E8"/>
    <w:rsid w:val="006050A7"/>
    <w:rsid w:val="00605AD3"/>
    <w:rsid w:val="00607B30"/>
    <w:rsid w:val="0061098B"/>
    <w:rsid w:val="006151BD"/>
    <w:rsid w:val="00616C0A"/>
    <w:rsid w:val="006173EA"/>
    <w:rsid w:val="00620E00"/>
    <w:rsid w:val="00621372"/>
    <w:rsid w:val="0062179F"/>
    <w:rsid w:val="00622641"/>
    <w:rsid w:val="006230BA"/>
    <w:rsid w:val="00623841"/>
    <w:rsid w:val="006246B6"/>
    <w:rsid w:val="006258FD"/>
    <w:rsid w:val="00626D36"/>
    <w:rsid w:val="006303B0"/>
    <w:rsid w:val="00630D37"/>
    <w:rsid w:val="006313A3"/>
    <w:rsid w:val="006322D2"/>
    <w:rsid w:val="00632B71"/>
    <w:rsid w:val="00634921"/>
    <w:rsid w:val="00637455"/>
    <w:rsid w:val="00642454"/>
    <w:rsid w:val="00643005"/>
    <w:rsid w:val="00644613"/>
    <w:rsid w:val="006448FE"/>
    <w:rsid w:val="0064510B"/>
    <w:rsid w:val="00645BF7"/>
    <w:rsid w:val="00647ECA"/>
    <w:rsid w:val="006514A5"/>
    <w:rsid w:val="0065256C"/>
    <w:rsid w:val="00652CD0"/>
    <w:rsid w:val="006535F7"/>
    <w:rsid w:val="0065545D"/>
    <w:rsid w:val="00655E3E"/>
    <w:rsid w:val="00656F43"/>
    <w:rsid w:val="006603AD"/>
    <w:rsid w:val="006605B2"/>
    <w:rsid w:val="00661E24"/>
    <w:rsid w:val="00662193"/>
    <w:rsid w:val="00662AEF"/>
    <w:rsid w:val="00663036"/>
    <w:rsid w:val="00671102"/>
    <w:rsid w:val="00671D99"/>
    <w:rsid w:val="006730AB"/>
    <w:rsid w:val="0067327F"/>
    <w:rsid w:val="00682F16"/>
    <w:rsid w:val="00683300"/>
    <w:rsid w:val="00684190"/>
    <w:rsid w:val="0068487E"/>
    <w:rsid w:val="00684897"/>
    <w:rsid w:val="006860D4"/>
    <w:rsid w:val="00687BCC"/>
    <w:rsid w:val="00687D76"/>
    <w:rsid w:val="00690824"/>
    <w:rsid w:val="00691FA6"/>
    <w:rsid w:val="00692AFB"/>
    <w:rsid w:val="006952CD"/>
    <w:rsid w:val="00696198"/>
    <w:rsid w:val="00697159"/>
    <w:rsid w:val="00697A99"/>
    <w:rsid w:val="006A087F"/>
    <w:rsid w:val="006A0C50"/>
    <w:rsid w:val="006A0F45"/>
    <w:rsid w:val="006A11D8"/>
    <w:rsid w:val="006A4D2A"/>
    <w:rsid w:val="006A6001"/>
    <w:rsid w:val="006A6D7B"/>
    <w:rsid w:val="006A7776"/>
    <w:rsid w:val="006A7D7F"/>
    <w:rsid w:val="006B1242"/>
    <w:rsid w:val="006B1F93"/>
    <w:rsid w:val="006B30DA"/>
    <w:rsid w:val="006B3C73"/>
    <w:rsid w:val="006B3D83"/>
    <w:rsid w:val="006B475F"/>
    <w:rsid w:val="006B50CB"/>
    <w:rsid w:val="006B5736"/>
    <w:rsid w:val="006B6F41"/>
    <w:rsid w:val="006C0B61"/>
    <w:rsid w:val="006C189E"/>
    <w:rsid w:val="006C1AF9"/>
    <w:rsid w:val="006C314C"/>
    <w:rsid w:val="006C323E"/>
    <w:rsid w:val="006C48B3"/>
    <w:rsid w:val="006C4CD3"/>
    <w:rsid w:val="006C5585"/>
    <w:rsid w:val="006C56F6"/>
    <w:rsid w:val="006C74FD"/>
    <w:rsid w:val="006D22CA"/>
    <w:rsid w:val="006D2BEC"/>
    <w:rsid w:val="006D308F"/>
    <w:rsid w:val="006D5681"/>
    <w:rsid w:val="006D6112"/>
    <w:rsid w:val="006D6482"/>
    <w:rsid w:val="006E089B"/>
    <w:rsid w:val="006E0961"/>
    <w:rsid w:val="006E2BDF"/>
    <w:rsid w:val="006E3198"/>
    <w:rsid w:val="006E5068"/>
    <w:rsid w:val="006E5215"/>
    <w:rsid w:val="006E566A"/>
    <w:rsid w:val="006E7D5D"/>
    <w:rsid w:val="006F4023"/>
    <w:rsid w:val="006F637E"/>
    <w:rsid w:val="006F6D62"/>
    <w:rsid w:val="006F748F"/>
    <w:rsid w:val="006F7AE4"/>
    <w:rsid w:val="0070045B"/>
    <w:rsid w:val="007013B3"/>
    <w:rsid w:val="007042CE"/>
    <w:rsid w:val="00706643"/>
    <w:rsid w:val="00710864"/>
    <w:rsid w:val="00712A03"/>
    <w:rsid w:val="00713333"/>
    <w:rsid w:val="007144DF"/>
    <w:rsid w:val="00715386"/>
    <w:rsid w:val="00716760"/>
    <w:rsid w:val="0071770F"/>
    <w:rsid w:val="0072505D"/>
    <w:rsid w:val="0072552B"/>
    <w:rsid w:val="00725843"/>
    <w:rsid w:val="0072616C"/>
    <w:rsid w:val="00727958"/>
    <w:rsid w:val="00731946"/>
    <w:rsid w:val="007324EB"/>
    <w:rsid w:val="007327F7"/>
    <w:rsid w:val="00733011"/>
    <w:rsid w:val="00734337"/>
    <w:rsid w:val="007355C9"/>
    <w:rsid w:val="00736A8B"/>
    <w:rsid w:val="00740896"/>
    <w:rsid w:val="00744028"/>
    <w:rsid w:val="0074567B"/>
    <w:rsid w:val="007463D4"/>
    <w:rsid w:val="0075074A"/>
    <w:rsid w:val="007508B1"/>
    <w:rsid w:val="00750B6E"/>
    <w:rsid w:val="00751C64"/>
    <w:rsid w:val="007561DB"/>
    <w:rsid w:val="0075781C"/>
    <w:rsid w:val="0076210D"/>
    <w:rsid w:val="0076241E"/>
    <w:rsid w:val="0076249D"/>
    <w:rsid w:val="007654F2"/>
    <w:rsid w:val="00765716"/>
    <w:rsid w:val="00765E21"/>
    <w:rsid w:val="00766B92"/>
    <w:rsid w:val="00773C67"/>
    <w:rsid w:val="007748C2"/>
    <w:rsid w:val="00774E2A"/>
    <w:rsid w:val="007754A5"/>
    <w:rsid w:val="00775559"/>
    <w:rsid w:val="00776284"/>
    <w:rsid w:val="00776B71"/>
    <w:rsid w:val="00776FEA"/>
    <w:rsid w:val="00780189"/>
    <w:rsid w:val="00782973"/>
    <w:rsid w:val="00782FFD"/>
    <w:rsid w:val="00783161"/>
    <w:rsid w:val="00783BC5"/>
    <w:rsid w:val="00786645"/>
    <w:rsid w:val="00786F96"/>
    <w:rsid w:val="00791B76"/>
    <w:rsid w:val="007929C4"/>
    <w:rsid w:val="00793433"/>
    <w:rsid w:val="00795251"/>
    <w:rsid w:val="0079528B"/>
    <w:rsid w:val="00795D4C"/>
    <w:rsid w:val="0079688D"/>
    <w:rsid w:val="00797138"/>
    <w:rsid w:val="007973F3"/>
    <w:rsid w:val="007974A5"/>
    <w:rsid w:val="007A2D56"/>
    <w:rsid w:val="007A321F"/>
    <w:rsid w:val="007A6360"/>
    <w:rsid w:val="007A6D75"/>
    <w:rsid w:val="007A71D6"/>
    <w:rsid w:val="007B031B"/>
    <w:rsid w:val="007B120D"/>
    <w:rsid w:val="007B2030"/>
    <w:rsid w:val="007B2DA7"/>
    <w:rsid w:val="007B4786"/>
    <w:rsid w:val="007B566E"/>
    <w:rsid w:val="007B6230"/>
    <w:rsid w:val="007B63D9"/>
    <w:rsid w:val="007C0A43"/>
    <w:rsid w:val="007C2A13"/>
    <w:rsid w:val="007C3359"/>
    <w:rsid w:val="007C4913"/>
    <w:rsid w:val="007C4BA2"/>
    <w:rsid w:val="007C6D89"/>
    <w:rsid w:val="007D091E"/>
    <w:rsid w:val="007D195E"/>
    <w:rsid w:val="007D1B90"/>
    <w:rsid w:val="007D4056"/>
    <w:rsid w:val="007D6F1F"/>
    <w:rsid w:val="007D6FBF"/>
    <w:rsid w:val="007D7967"/>
    <w:rsid w:val="007D7CFF"/>
    <w:rsid w:val="007E08C0"/>
    <w:rsid w:val="007E10E0"/>
    <w:rsid w:val="007E16E4"/>
    <w:rsid w:val="007E1D51"/>
    <w:rsid w:val="007E2282"/>
    <w:rsid w:val="007E2C19"/>
    <w:rsid w:val="007E3AFB"/>
    <w:rsid w:val="007E4663"/>
    <w:rsid w:val="007E4B08"/>
    <w:rsid w:val="007E77E2"/>
    <w:rsid w:val="007F3382"/>
    <w:rsid w:val="007F39AF"/>
    <w:rsid w:val="007F3CA0"/>
    <w:rsid w:val="007F639D"/>
    <w:rsid w:val="007F7447"/>
    <w:rsid w:val="008014BF"/>
    <w:rsid w:val="00802CFD"/>
    <w:rsid w:val="00803A24"/>
    <w:rsid w:val="00803B51"/>
    <w:rsid w:val="00804C3D"/>
    <w:rsid w:val="00810181"/>
    <w:rsid w:val="00812FDC"/>
    <w:rsid w:val="00813658"/>
    <w:rsid w:val="0081420E"/>
    <w:rsid w:val="00814EFD"/>
    <w:rsid w:val="0081511C"/>
    <w:rsid w:val="00815BD7"/>
    <w:rsid w:val="0081619F"/>
    <w:rsid w:val="00821E97"/>
    <w:rsid w:val="00822239"/>
    <w:rsid w:val="008222B6"/>
    <w:rsid w:val="00822D8E"/>
    <w:rsid w:val="008248B0"/>
    <w:rsid w:val="00826C7B"/>
    <w:rsid w:val="00826FC1"/>
    <w:rsid w:val="00827103"/>
    <w:rsid w:val="00827168"/>
    <w:rsid w:val="00832B45"/>
    <w:rsid w:val="008345F4"/>
    <w:rsid w:val="00835F16"/>
    <w:rsid w:val="00837604"/>
    <w:rsid w:val="00840545"/>
    <w:rsid w:val="008406F7"/>
    <w:rsid w:val="00840CD2"/>
    <w:rsid w:val="00841235"/>
    <w:rsid w:val="00842966"/>
    <w:rsid w:val="008446E6"/>
    <w:rsid w:val="0084768A"/>
    <w:rsid w:val="00851A7F"/>
    <w:rsid w:val="00851C62"/>
    <w:rsid w:val="00851D82"/>
    <w:rsid w:val="0085336F"/>
    <w:rsid w:val="00854984"/>
    <w:rsid w:val="00854A92"/>
    <w:rsid w:val="008629BE"/>
    <w:rsid w:val="00862D77"/>
    <w:rsid w:val="008633F6"/>
    <w:rsid w:val="0086366A"/>
    <w:rsid w:val="00863BF1"/>
    <w:rsid w:val="00864B8E"/>
    <w:rsid w:val="00866438"/>
    <w:rsid w:val="008665AD"/>
    <w:rsid w:val="008708BF"/>
    <w:rsid w:val="00871972"/>
    <w:rsid w:val="0087305D"/>
    <w:rsid w:val="00875703"/>
    <w:rsid w:val="008766F0"/>
    <w:rsid w:val="00876F76"/>
    <w:rsid w:val="00877336"/>
    <w:rsid w:val="0087762A"/>
    <w:rsid w:val="008777FF"/>
    <w:rsid w:val="00877D9D"/>
    <w:rsid w:val="0088174F"/>
    <w:rsid w:val="008818FB"/>
    <w:rsid w:val="0088201D"/>
    <w:rsid w:val="00885E36"/>
    <w:rsid w:val="008875F5"/>
    <w:rsid w:val="00887FDD"/>
    <w:rsid w:val="00890372"/>
    <w:rsid w:val="008908D9"/>
    <w:rsid w:val="00890D67"/>
    <w:rsid w:val="008913F8"/>
    <w:rsid w:val="00891E40"/>
    <w:rsid w:val="00892FCF"/>
    <w:rsid w:val="008947E2"/>
    <w:rsid w:val="008955F1"/>
    <w:rsid w:val="00895CCE"/>
    <w:rsid w:val="008973AB"/>
    <w:rsid w:val="0089751C"/>
    <w:rsid w:val="008976E4"/>
    <w:rsid w:val="008A0049"/>
    <w:rsid w:val="008A02B6"/>
    <w:rsid w:val="008A0D0F"/>
    <w:rsid w:val="008A2FD6"/>
    <w:rsid w:val="008A4AFD"/>
    <w:rsid w:val="008A5165"/>
    <w:rsid w:val="008A5A18"/>
    <w:rsid w:val="008B0BF5"/>
    <w:rsid w:val="008B1C6E"/>
    <w:rsid w:val="008B2304"/>
    <w:rsid w:val="008B429D"/>
    <w:rsid w:val="008B5BBD"/>
    <w:rsid w:val="008C11F0"/>
    <w:rsid w:val="008C245A"/>
    <w:rsid w:val="008C2B19"/>
    <w:rsid w:val="008C392F"/>
    <w:rsid w:val="008C47D1"/>
    <w:rsid w:val="008C5E42"/>
    <w:rsid w:val="008C6B17"/>
    <w:rsid w:val="008C6D0D"/>
    <w:rsid w:val="008D0685"/>
    <w:rsid w:val="008D196D"/>
    <w:rsid w:val="008D3D57"/>
    <w:rsid w:val="008D3F96"/>
    <w:rsid w:val="008D415D"/>
    <w:rsid w:val="008D4BA8"/>
    <w:rsid w:val="008D6149"/>
    <w:rsid w:val="008D6829"/>
    <w:rsid w:val="008D7327"/>
    <w:rsid w:val="008D7A2D"/>
    <w:rsid w:val="008E14E9"/>
    <w:rsid w:val="008E20A4"/>
    <w:rsid w:val="008E30B4"/>
    <w:rsid w:val="008E483F"/>
    <w:rsid w:val="008E5F6E"/>
    <w:rsid w:val="008E66A3"/>
    <w:rsid w:val="008E71ED"/>
    <w:rsid w:val="008E73BC"/>
    <w:rsid w:val="008F1A43"/>
    <w:rsid w:val="008F2494"/>
    <w:rsid w:val="008F346C"/>
    <w:rsid w:val="008F3D66"/>
    <w:rsid w:val="008F4660"/>
    <w:rsid w:val="008F4C9C"/>
    <w:rsid w:val="008F7897"/>
    <w:rsid w:val="008F7953"/>
    <w:rsid w:val="009008CA"/>
    <w:rsid w:val="00901924"/>
    <w:rsid w:val="00901EC7"/>
    <w:rsid w:val="00903FAC"/>
    <w:rsid w:val="00904B9A"/>
    <w:rsid w:val="009060A9"/>
    <w:rsid w:val="00906D30"/>
    <w:rsid w:val="0091156B"/>
    <w:rsid w:val="00911652"/>
    <w:rsid w:val="009123BC"/>
    <w:rsid w:val="00912DC5"/>
    <w:rsid w:val="009137D5"/>
    <w:rsid w:val="009146F9"/>
    <w:rsid w:val="00914922"/>
    <w:rsid w:val="00915389"/>
    <w:rsid w:val="00915E72"/>
    <w:rsid w:val="00916020"/>
    <w:rsid w:val="00917BDB"/>
    <w:rsid w:val="00920691"/>
    <w:rsid w:val="00920831"/>
    <w:rsid w:val="00921FAB"/>
    <w:rsid w:val="0092285C"/>
    <w:rsid w:val="009231AB"/>
    <w:rsid w:val="00924062"/>
    <w:rsid w:val="009242A0"/>
    <w:rsid w:val="00925857"/>
    <w:rsid w:val="00927062"/>
    <w:rsid w:val="009270CE"/>
    <w:rsid w:val="009274A9"/>
    <w:rsid w:val="0093090D"/>
    <w:rsid w:val="009309A7"/>
    <w:rsid w:val="00932024"/>
    <w:rsid w:val="00932CB0"/>
    <w:rsid w:val="00934C5A"/>
    <w:rsid w:val="00937AB0"/>
    <w:rsid w:val="009404AA"/>
    <w:rsid w:val="009411A3"/>
    <w:rsid w:val="009414F6"/>
    <w:rsid w:val="009458A0"/>
    <w:rsid w:val="00945C0E"/>
    <w:rsid w:val="0095016D"/>
    <w:rsid w:val="00950719"/>
    <w:rsid w:val="009507DB"/>
    <w:rsid w:val="00950FA6"/>
    <w:rsid w:val="009524FD"/>
    <w:rsid w:val="00953488"/>
    <w:rsid w:val="00954897"/>
    <w:rsid w:val="00957FCC"/>
    <w:rsid w:val="00960235"/>
    <w:rsid w:val="0096063E"/>
    <w:rsid w:val="00960EA0"/>
    <w:rsid w:val="00961117"/>
    <w:rsid w:val="00962233"/>
    <w:rsid w:val="00962C66"/>
    <w:rsid w:val="00965791"/>
    <w:rsid w:val="0097163B"/>
    <w:rsid w:val="00972899"/>
    <w:rsid w:val="00973EBE"/>
    <w:rsid w:val="009747AC"/>
    <w:rsid w:val="009747C5"/>
    <w:rsid w:val="00974A51"/>
    <w:rsid w:val="0097596E"/>
    <w:rsid w:val="0097619C"/>
    <w:rsid w:val="00976C53"/>
    <w:rsid w:val="00980F30"/>
    <w:rsid w:val="00982AE1"/>
    <w:rsid w:val="00982E63"/>
    <w:rsid w:val="009830CA"/>
    <w:rsid w:val="00983ACB"/>
    <w:rsid w:val="009845FF"/>
    <w:rsid w:val="00985F47"/>
    <w:rsid w:val="00986EF2"/>
    <w:rsid w:val="0099183A"/>
    <w:rsid w:val="00992390"/>
    <w:rsid w:val="00994542"/>
    <w:rsid w:val="00994ACA"/>
    <w:rsid w:val="00994DDE"/>
    <w:rsid w:val="009A122D"/>
    <w:rsid w:val="009A14CA"/>
    <w:rsid w:val="009A5794"/>
    <w:rsid w:val="009A7E7B"/>
    <w:rsid w:val="009B09D2"/>
    <w:rsid w:val="009B1251"/>
    <w:rsid w:val="009B2036"/>
    <w:rsid w:val="009B24FD"/>
    <w:rsid w:val="009B40E6"/>
    <w:rsid w:val="009B4C09"/>
    <w:rsid w:val="009C0D7F"/>
    <w:rsid w:val="009C2DF7"/>
    <w:rsid w:val="009C3C8E"/>
    <w:rsid w:val="009C42C5"/>
    <w:rsid w:val="009C5046"/>
    <w:rsid w:val="009C5515"/>
    <w:rsid w:val="009C5FD1"/>
    <w:rsid w:val="009C61F3"/>
    <w:rsid w:val="009C671A"/>
    <w:rsid w:val="009D02D5"/>
    <w:rsid w:val="009D058B"/>
    <w:rsid w:val="009D0886"/>
    <w:rsid w:val="009D2A83"/>
    <w:rsid w:val="009D43FA"/>
    <w:rsid w:val="009D5E0A"/>
    <w:rsid w:val="009D61EE"/>
    <w:rsid w:val="009D6BAD"/>
    <w:rsid w:val="009D6D88"/>
    <w:rsid w:val="009D721F"/>
    <w:rsid w:val="009E020D"/>
    <w:rsid w:val="009E09D7"/>
    <w:rsid w:val="009E2DDE"/>
    <w:rsid w:val="009E34CB"/>
    <w:rsid w:val="009E7679"/>
    <w:rsid w:val="009F0C89"/>
    <w:rsid w:val="009F20C7"/>
    <w:rsid w:val="009F216A"/>
    <w:rsid w:val="009F3EE0"/>
    <w:rsid w:val="009F7735"/>
    <w:rsid w:val="009F7B6A"/>
    <w:rsid w:val="009F7CC0"/>
    <w:rsid w:val="00A005C3"/>
    <w:rsid w:val="00A01010"/>
    <w:rsid w:val="00A01163"/>
    <w:rsid w:val="00A01AC1"/>
    <w:rsid w:val="00A0281D"/>
    <w:rsid w:val="00A04BED"/>
    <w:rsid w:val="00A06D3E"/>
    <w:rsid w:val="00A07166"/>
    <w:rsid w:val="00A078EE"/>
    <w:rsid w:val="00A12E09"/>
    <w:rsid w:val="00A20AA5"/>
    <w:rsid w:val="00A25A6A"/>
    <w:rsid w:val="00A25D03"/>
    <w:rsid w:val="00A300D7"/>
    <w:rsid w:val="00A30195"/>
    <w:rsid w:val="00A306E4"/>
    <w:rsid w:val="00A30B5F"/>
    <w:rsid w:val="00A31AE2"/>
    <w:rsid w:val="00A32F6C"/>
    <w:rsid w:val="00A344AF"/>
    <w:rsid w:val="00A3712F"/>
    <w:rsid w:val="00A379FA"/>
    <w:rsid w:val="00A422E8"/>
    <w:rsid w:val="00A43AA4"/>
    <w:rsid w:val="00A442C7"/>
    <w:rsid w:val="00A44C41"/>
    <w:rsid w:val="00A459AE"/>
    <w:rsid w:val="00A461B5"/>
    <w:rsid w:val="00A47833"/>
    <w:rsid w:val="00A50F3B"/>
    <w:rsid w:val="00A53538"/>
    <w:rsid w:val="00A5414A"/>
    <w:rsid w:val="00A55E5B"/>
    <w:rsid w:val="00A55FBA"/>
    <w:rsid w:val="00A571B9"/>
    <w:rsid w:val="00A57CE3"/>
    <w:rsid w:val="00A57DFE"/>
    <w:rsid w:val="00A64915"/>
    <w:rsid w:val="00A6529C"/>
    <w:rsid w:val="00A65A6B"/>
    <w:rsid w:val="00A6615C"/>
    <w:rsid w:val="00A669BC"/>
    <w:rsid w:val="00A6797C"/>
    <w:rsid w:val="00A67AD6"/>
    <w:rsid w:val="00A7072F"/>
    <w:rsid w:val="00A71E87"/>
    <w:rsid w:val="00A732CB"/>
    <w:rsid w:val="00A74070"/>
    <w:rsid w:val="00A7512D"/>
    <w:rsid w:val="00A80295"/>
    <w:rsid w:val="00A84368"/>
    <w:rsid w:val="00A87010"/>
    <w:rsid w:val="00A8747B"/>
    <w:rsid w:val="00A87758"/>
    <w:rsid w:val="00A87A1B"/>
    <w:rsid w:val="00A90458"/>
    <w:rsid w:val="00A9058B"/>
    <w:rsid w:val="00A90A52"/>
    <w:rsid w:val="00A90A9E"/>
    <w:rsid w:val="00A9243D"/>
    <w:rsid w:val="00A927EA"/>
    <w:rsid w:val="00A94A07"/>
    <w:rsid w:val="00A95186"/>
    <w:rsid w:val="00A95196"/>
    <w:rsid w:val="00A96571"/>
    <w:rsid w:val="00A96810"/>
    <w:rsid w:val="00AA0BCE"/>
    <w:rsid w:val="00AA27BF"/>
    <w:rsid w:val="00AA39E6"/>
    <w:rsid w:val="00AA5974"/>
    <w:rsid w:val="00AA5F6A"/>
    <w:rsid w:val="00AA6C71"/>
    <w:rsid w:val="00AA7B0B"/>
    <w:rsid w:val="00AB004E"/>
    <w:rsid w:val="00AB053F"/>
    <w:rsid w:val="00AB0E87"/>
    <w:rsid w:val="00AB1691"/>
    <w:rsid w:val="00AB257C"/>
    <w:rsid w:val="00AB272A"/>
    <w:rsid w:val="00AB304F"/>
    <w:rsid w:val="00AB3947"/>
    <w:rsid w:val="00AB3BA5"/>
    <w:rsid w:val="00AB4943"/>
    <w:rsid w:val="00AB55B7"/>
    <w:rsid w:val="00AB5DDD"/>
    <w:rsid w:val="00AB6785"/>
    <w:rsid w:val="00AB7E36"/>
    <w:rsid w:val="00AC0BC1"/>
    <w:rsid w:val="00AC0F22"/>
    <w:rsid w:val="00AC25B3"/>
    <w:rsid w:val="00AC2BDF"/>
    <w:rsid w:val="00AC386A"/>
    <w:rsid w:val="00AC38AA"/>
    <w:rsid w:val="00AC3B1A"/>
    <w:rsid w:val="00AC4370"/>
    <w:rsid w:val="00AC4D3A"/>
    <w:rsid w:val="00AC7964"/>
    <w:rsid w:val="00AC7C3E"/>
    <w:rsid w:val="00AD100F"/>
    <w:rsid w:val="00AD15D4"/>
    <w:rsid w:val="00AD1F7D"/>
    <w:rsid w:val="00AD2560"/>
    <w:rsid w:val="00AD2752"/>
    <w:rsid w:val="00AD2F65"/>
    <w:rsid w:val="00AD3218"/>
    <w:rsid w:val="00AD5898"/>
    <w:rsid w:val="00AD5D09"/>
    <w:rsid w:val="00AE08E8"/>
    <w:rsid w:val="00AE0B7E"/>
    <w:rsid w:val="00AE0EC8"/>
    <w:rsid w:val="00AE1692"/>
    <w:rsid w:val="00AE20AB"/>
    <w:rsid w:val="00AE2580"/>
    <w:rsid w:val="00AE4463"/>
    <w:rsid w:val="00AE5B66"/>
    <w:rsid w:val="00AE64D5"/>
    <w:rsid w:val="00AE7627"/>
    <w:rsid w:val="00AE77E1"/>
    <w:rsid w:val="00AE7E33"/>
    <w:rsid w:val="00AF068D"/>
    <w:rsid w:val="00AF4533"/>
    <w:rsid w:val="00AF5A35"/>
    <w:rsid w:val="00AF5B6F"/>
    <w:rsid w:val="00B00518"/>
    <w:rsid w:val="00B01707"/>
    <w:rsid w:val="00B0481B"/>
    <w:rsid w:val="00B05017"/>
    <w:rsid w:val="00B05C66"/>
    <w:rsid w:val="00B074FB"/>
    <w:rsid w:val="00B07C5C"/>
    <w:rsid w:val="00B10FD0"/>
    <w:rsid w:val="00B130AF"/>
    <w:rsid w:val="00B13C20"/>
    <w:rsid w:val="00B14A14"/>
    <w:rsid w:val="00B154D8"/>
    <w:rsid w:val="00B158ED"/>
    <w:rsid w:val="00B16553"/>
    <w:rsid w:val="00B16DB3"/>
    <w:rsid w:val="00B1795A"/>
    <w:rsid w:val="00B17CA0"/>
    <w:rsid w:val="00B203CF"/>
    <w:rsid w:val="00B204FD"/>
    <w:rsid w:val="00B2323B"/>
    <w:rsid w:val="00B25C1A"/>
    <w:rsid w:val="00B25F4A"/>
    <w:rsid w:val="00B26045"/>
    <w:rsid w:val="00B269A9"/>
    <w:rsid w:val="00B3176E"/>
    <w:rsid w:val="00B31A37"/>
    <w:rsid w:val="00B3209A"/>
    <w:rsid w:val="00B320B0"/>
    <w:rsid w:val="00B3249C"/>
    <w:rsid w:val="00B33501"/>
    <w:rsid w:val="00B34621"/>
    <w:rsid w:val="00B348FB"/>
    <w:rsid w:val="00B355C9"/>
    <w:rsid w:val="00B35619"/>
    <w:rsid w:val="00B416C3"/>
    <w:rsid w:val="00B41AA2"/>
    <w:rsid w:val="00B44724"/>
    <w:rsid w:val="00B4475E"/>
    <w:rsid w:val="00B463AF"/>
    <w:rsid w:val="00B47A23"/>
    <w:rsid w:val="00B47DBC"/>
    <w:rsid w:val="00B51C03"/>
    <w:rsid w:val="00B51C17"/>
    <w:rsid w:val="00B5540D"/>
    <w:rsid w:val="00B56429"/>
    <w:rsid w:val="00B56A1E"/>
    <w:rsid w:val="00B6057E"/>
    <w:rsid w:val="00B624EC"/>
    <w:rsid w:val="00B6432E"/>
    <w:rsid w:val="00B64EC4"/>
    <w:rsid w:val="00B656F4"/>
    <w:rsid w:val="00B6762E"/>
    <w:rsid w:val="00B67E8F"/>
    <w:rsid w:val="00B70E72"/>
    <w:rsid w:val="00B712B0"/>
    <w:rsid w:val="00B72A9D"/>
    <w:rsid w:val="00B72EB6"/>
    <w:rsid w:val="00B74A6D"/>
    <w:rsid w:val="00B81738"/>
    <w:rsid w:val="00B829C7"/>
    <w:rsid w:val="00B82D97"/>
    <w:rsid w:val="00B83C57"/>
    <w:rsid w:val="00B84970"/>
    <w:rsid w:val="00B8621F"/>
    <w:rsid w:val="00B874E5"/>
    <w:rsid w:val="00B91F08"/>
    <w:rsid w:val="00B930C1"/>
    <w:rsid w:val="00B93850"/>
    <w:rsid w:val="00B939B1"/>
    <w:rsid w:val="00B93F0A"/>
    <w:rsid w:val="00B945E1"/>
    <w:rsid w:val="00B9470A"/>
    <w:rsid w:val="00B95311"/>
    <w:rsid w:val="00B95838"/>
    <w:rsid w:val="00B96A45"/>
    <w:rsid w:val="00B96CA6"/>
    <w:rsid w:val="00BA088C"/>
    <w:rsid w:val="00BA0C79"/>
    <w:rsid w:val="00BA1006"/>
    <w:rsid w:val="00BA10A3"/>
    <w:rsid w:val="00BA2C24"/>
    <w:rsid w:val="00BA2FF2"/>
    <w:rsid w:val="00BA3C05"/>
    <w:rsid w:val="00BA3E14"/>
    <w:rsid w:val="00BA4E07"/>
    <w:rsid w:val="00BA556E"/>
    <w:rsid w:val="00BB03CC"/>
    <w:rsid w:val="00BB1C26"/>
    <w:rsid w:val="00BB25C6"/>
    <w:rsid w:val="00BB35E7"/>
    <w:rsid w:val="00BB36F3"/>
    <w:rsid w:val="00BB3F2C"/>
    <w:rsid w:val="00BB4602"/>
    <w:rsid w:val="00BB549E"/>
    <w:rsid w:val="00BB6BB0"/>
    <w:rsid w:val="00BB7FE3"/>
    <w:rsid w:val="00BC0067"/>
    <w:rsid w:val="00BC053E"/>
    <w:rsid w:val="00BC16E4"/>
    <w:rsid w:val="00BC18CC"/>
    <w:rsid w:val="00BC24F2"/>
    <w:rsid w:val="00BC2904"/>
    <w:rsid w:val="00BC3464"/>
    <w:rsid w:val="00BC3C3B"/>
    <w:rsid w:val="00BC3E1F"/>
    <w:rsid w:val="00BC4191"/>
    <w:rsid w:val="00BC70A4"/>
    <w:rsid w:val="00BC7643"/>
    <w:rsid w:val="00BD1295"/>
    <w:rsid w:val="00BD2BE9"/>
    <w:rsid w:val="00BD3B69"/>
    <w:rsid w:val="00BD4C25"/>
    <w:rsid w:val="00BD4F83"/>
    <w:rsid w:val="00BD6E3F"/>
    <w:rsid w:val="00BD7CF0"/>
    <w:rsid w:val="00BE052E"/>
    <w:rsid w:val="00BE155E"/>
    <w:rsid w:val="00BE1923"/>
    <w:rsid w:val="00BE2AD1"/>
    <w:rsid w:val="00BE2CCB"/>
    <w:rsid w:val="00BE437B"/>
    <w:rsid w:val="00BE47AD"/>
    <w:rsid w:val="00BE5BFE"/>
    <w:rsid w:val="00BE6566"/>
    <w:rsid w:val="00BE7043"/>
    <w:rsid w:val="00BF2062"/>
    <w:rsid w:val="00BF282D"/>
    <w:rsid w:val="00BF301D"/>
    <w:rsid w:val="00BF40BE"/>
    <w:rsid w:val="00BF44E0"/>
    <w:rsid w:val="00BF54DE"/>
    <w:rsid w:val="00BF56C6"/>
    <w:rsid w:val="00BF5AF6"/>
    <w:rsid w:val="00BF6D5D"/>
    <w:rsid w:val="00BF7E4F"/>
    <w:rsid w:val="00C02BDB"/>
    <w:rsid w:val="00C05945"/>
    <w:rsid w:val="00C068DC"/>
    <w:rsid w:val="00C12504"/>
    <w:rsid w:val="00C12C94"/>
    <w:rsid w:val="00C139A2"/>
    <w:rsid w:val="00C14219"/>
    <w:rsid w:val="00C14851"/>
    <w:rsid w:val="00C15254"/>
    <w:rsid w:val="00C157CD"/>
    <w:rsid w:val="00C1655D"/>
    <w:rsid w:val="00C1661B"/>
    <w:rsid w:val="00C21262"/>
    <w:rsid w:val="00C23282"/>
    <w:rsid w:val="00C2556B"/>
    <w:rsid w:val="00C26B52"/>
    <w:rsid w:val="00C26C5B"/>
    <w:rsid w:val="00C27524"/>
    <w:rsid w:val="00C277FA"/>
    <w:rsid w:val="00C308AB"/>
    <w:rsid w:val="00C32389"/>
    <w:rsid w:val="00C323A5"/>
    <w:rsid w:val="00C340C0"/>
    <w:rsid w:val="00C34CF4"/>
    <w:rsid w:val="00C35812"/>
    <w:rsid w:val="00C423F7"/>
    <w:rsid w:val="00C4434E"/>
    <w:rsid w:val="00C44671"/>
    <w:rsid w:val="00C46D09"/>
    <w:rsid w:val="00C474B4"/>
    <w:rsid w:val="00C5016C"/>
    <w:rsid w:val="00C51132"/>
    <w:rsid w:val="00C51B7F"/>
    <w:rsid w:val="00C51E1D"/>
    <w:rsid w:val="00C545B8"/>
    <w:rsid w:val="00C572D6"/>
    <w:rsid w:val="00C60A45"/>
    <w:rsid w:val="00C618B1"/>
    <w:rsid w:val="00C62479"/>
    <w:rsid w:val="00C65556"/>
    <w:rsid w:val="00C673D0"/>
    <w:rsid w:val="00C67F43"/>
    <w:rsid w:val="00C7082D"/>
    <w:rsid w:val="00C70D05"/>
    <w:rsid w:val="00C71141"/>
    <w:rsid w:val="00C71863"/>
    <w:rsid w:val="00C7304E"/>
    <w:rsid w:val="00C73F54"/>
    <w:rsid w:val="00C744D4"/>
    <w:rsid w:val="00C7496C"/>
    <w:rsid w:val="00C75C51"/>
    <w:rsid w:val="00C75D73"/>
    <w:rsid w:val="00C76DD0"/>
    <w:rsid w:val="00C77307"/>
    <w:rsid w:val="00C77538"/>
    <w:rsid w:val="00C77884"/>
    <w:rsid w:val="00C810CF"/>
    <w:rsid w:val="00C8209D"/>
    <w:rsid w:val="00C8278C"/>
    <w:rsid w:val="00C8281D"/>
    <w:rsid w:val="00C8295E"/>
    <w:rsid w:val="00C83E84"/>
    <w:rsid w:val="00C8444A"/>
    <w:rsid w:val="00C84FAB"/>
    <w:rsid w:val="00C8555A"/>
    <w:rsid w:val="00C857B0"/>
    <w:rsid w:val="00C86342"/>
    <w:rsid w:val="00C86809"/>
    <w:rsid w:val="00C92319"/>
    <w:rsid w:val="00C933BD"/>
    <w:rsid w:val="00C95654"/>
    <w:rsid w:val="00C95812"/>
    <w:rsid w:val="00C97AA6"/>
    <w:rsid w:val="00CA0818"/>
    <w:rsid w:val="00CA1955"/>
    <w:rsid w:val="00CA4845"/>
    <w:rsid w:val="00CA520E"/>
    <w:rsid w:val="00CA6351"/>
    <w:rsid w:val="00CA6697"/>
    <w:rsid w:val="00CA725C"/>
    <w:rsid w:val="00CB0B3C"/>
    <w:rsid w:val="00CB2101"/>
    <w:rsid w:val="00CB2B4B"/>
    <w:rsid w:val="00CB3B9A"/>
    <w:rsid w:val="00CB4F3E"/>
    <w:rsid w:val="00CB5F9D"/>
    <w:rsid w:val="00CB64F1"/>
    <w:rsid w:val="00CC0469"/>
    <w:rsid w:val="00CC0B6B"/>
    <w:rsid w:val="00CC1450"/>
    <w:rsid w:val="00CC67C4"/>
    <w:rsid w:val="00CD115C"/>
    <w:rsid w:val="00CD174B"/>
    <w:rsid w:val="00CD3749"/>
    <w:rsid w:val="00CD3D1D"/>
    <w:rsid w:val="00CD3F28"/>
    <w:rsid w:val="00CD4A1A"/>
    <w:rsid w:val="00CD74B3"/>
    <w:rsid w:val="00CE0E4D"/>
    <w:rsid w:val="00CE189E"/>
    <w:rsid w:val="00CE2DA4"/>
    <w:rsid w:val="00CE3213"/>
    <w:rsid w:val="00CE3687"/>
    <w:rsid w:val="00CE3ED8"/>
    <w:rsid w:val="00CE4521"/>
    <w:rsid w:val="00CE4DE3"/>
    <w:rsid w:val="00CE5628"/>
    <w:rsid w:val="00CE5774"/>
    <w:rsid w:val="00CE66FD"/>
    <w:rsid w:val="00CE6BB4"/>
    <w:rsid w:val="00CE77A8"/>
    <w:rsid w:val="00CF3539"/>
    <w:rsid w:val="00CF37DC"/>
    <w:rsid w:val="00CF4B7F"/>
    <w:rsid w:val="00CF5CED"/>
    <w:rsid w:val="00CF71E3"/>
    <w:rsid w:val="00D00132"/>
    <w:rsid w:val="00D01229"/>
    <w:rsid w:val="00D02196"/>
    <w:rsid w:val="00D02E65"/>
    <w:rsid w:val="00D03317"/>
    <w:rsid w:val="00D03B25"/>
    <w:rsid w:val="00D04331"/>
    <w:rsid w:val="00D052A4"/>
    <w:rsid w:val="00D067E6"/>
    <w:rsid w:val="00D068F8"/>
    <w:rsid w:val="00D06A58"/>
    <w:rsid w:val="00D0776A"/>
    <w:rsid w:val="00D134FC"/>
    <w:rsid w:val="00D136D6"/>
    <w:rsid w:val="00D139F5"/>
    <w:rsid w:val="00D16FDC"/>
    <w:rsid w:val="00D172B9"/>
    <w:rsid w:val="00D22C9C"/>
    <w:rsid w:val="00D23166"/>
    <w:rsid w:val="00D2325B"/>
    <w:rsid w:val="00D27AB8"/>
    <w:rsid w:val="00D31F3E"/>
    <w:rsid w:val="00D350CB"/>
    <w:rsid w:val="00D3543A"/>
    <w:rsid w:val="00D35785"/>
    <w:rsid w:val="00D37FC6"/>
    <w:rsid w:val="00D404C1"/>
    <w:rsid w:val="00D407CD"/>
    <w:rsid w:val="00D40C14"/>
    <w:rsid w:val="00D419F0"/>
    <w:rsid w:val="00D4249D"/>
    <w:rsid w:val="00D42734"/>
    <w:rsid w:val="00D44D1D"/>
    <w:rsid w:val="00D45F7E"/>
    <w:rsid w:val="00D50C25"/>
    <w:rsid w:val="00D61312"/>
    <w:rsid w:val="00D62423"/>
    <w:rsid w:val="00D62B33"/>
    <w:rsid w:val="00D6363B"/>
    <w:rsid w:val="00D638DF"/>
    <w:rsid w:val="00D63A95"/>
    <w:rsid w:val="00D64FF7"/>
    <w:rsid w:val="00D65259"/>
    <w:rsid w:val="00D6675D"/>
    <w:rsid w:val="00D71700"/>
    <w:rsid w:val="00D723CD"/>
    <w:rsid w:val="00D72716"/>
    <w:rsid w:val="00D73713"/>
    <w:rsid w:val="00D73A6A"/>
    <w:rsid w:val="00D73EF3"/>
    <w:rsid w:val="00D755ED"/>
    <w:rsid w:val="00D756BC"/>
    <w:rsid w:val="00D76E29"/>
    <w:rsid w:val="00D77A0C"/>
    <w:rsid w:val="00D77B58"/>
    <w:rsid w:val="00D80309"/>
    <w:rsid w:val="00D81E05"/>
    <w:rsid w:val="00D83804"/>
    <w:rsid w:val="00D843CE"/>
    <w:rsid w:val="00D8614E"/>
    <w:rsid w:val="00D869EF"/>
    <w:rsid w:val="00D879DA"/>
    <w:rsid w:val="00D91363"/>
    <w:rsid w:val="00D92041"/>
    <w:rsid w:val="00D93D2F"/>
    <w:rsid w:val="00D9442E"/>
    <w:rsid w:val="00D94E5E"/>
    <w:rsid w:val="00D95F02"/>
    <w:rsid w:val="00D95F14"/>
    <w:rsid w:val="00D96EA4"/>
    <w:rsid w:val="00D973BE"/>
    <w:rsid w:val="00DA1371"/>
    <w:rsid w:val="00DA2AA7"/>
    <w:rsid w:val="00DA2BE0"/>
    <w:rsid w:val="00DA312A"/>
    <w:rsid w:val="00DA4A71"/>
    <w:rsid w:val="00DA5366"/>
    <w:rsid w:val="00DA7811"/>
    <w:rsid w:val="00DB19E3"/>
    <w:rsid w:val="00DB4212"/>
    <w:rsid w:val="00DB6946"/>
    <w:rsid w:val="00DC0381"/>
    <w:rsid w:val="00DC15E0"/>
    <w:rsid w:val="00DC1714"/>
    <w:rsid w:val="00DC493A"/>
    <w:rsid w:val="00DC52F9"/>
    <w:rsid w:val="00DC7B3F"/>
    <w:rsid w:val="00DD0A80"/>
    <w:rsid w:val="00DD266B"/>
    <w:rsid w:val="00DD39A1"/>
    <w:rsid w:val="00DD4CBE"/>
    <w:rsid w:val="00DD5926"/>
    <w:rsid w:val="00DD6FB7"/>
    <w:rsid w:val="00DE1B1C"/>
    <w:rsid w:val="00DE1FE8"/>
    <w:rsid w:val="00DE227B"/>
    <w:rsid w:val="00DE289A"/>
    <w:rsid w:val="00DE2DC6"/>
    <w:rsid w:val="00DE3A95"/>
    <w:rsid w:val="00DE49D7"/>
    <w:rsid w:val="00DE4A52"/>
    <w:rsid w:val="00DE50BE"/>
    <w:rsid w:val="00DE5252"/>
    <w:rsid w:val="00DE5806"/>
    <w:rsid w:val="00DE5BD7"/>
    <w:rsid w:val="00DE634E"/>
    <w:rsid w:val="00DF09C5"/>
    <w:rsid w:val="00DF293A"/>
    <w:rsid w:val="00DF59B0"/>
    <w:rsid w:val="00DF623F"/>
    <w:rsid w:val="00DF6E0C"/>
    <w:rsid w:val="00DF71E1"/>
    <w:rsid w:val="00E02855"/>
    <w:rsid w:val="00E02C55"/>
    <w:rsid w:val="00E03947"/>
    <w:rsid w:val="00E07038"/>
    <w:rsid w:val="00E113B2"/>
    <w:rsid w:val="00E11AB1"/>
    <w:rsid w:val="00E12831"/>
    <w:rsid w:val="00E13E3B"/>
    <w:rsid w:val="00E14205"/>
    <w:rsid w:val="00E14788"/>
    <w:rsid w:val="00E14E6D"/>
    <w:rsid w:val="00E15F57"/>
    <w:rsid w:val="00E1652D"/>
    <w:rsid w:val="00E16577"/>
    <w:rsid w:val="00E17BF7"/>
    <w:rsid w:val="00E20149"/>
    <w:rsid w:val="00E203E8"/>
    <w:rsid w:val="00E206D2"/>
    <w:rsid w:val="00E20B7F"/>
    <w:rsid w:val="00E233AB"/>
    <w:rsid w:val="00E25014"/>
    <w:rsid w:val="00E31FF7"/>
    <w:rsid w:val="00E321D7"/>
    <w:rsid w:val="00E3287A"/>
    <w:rsid w:val="00E35798"/>
    <w:rsid w:val="00E35B24"/>
    <w:rsid w:val="00E37015"/>
    <w:rsid w:val="00E42D2D"/>
    <w:rsid w:val="00E42DFC"/>
    <w:rsid w:val="00E4416F"/>
    <w:rsid w:val="00E45576"/>
    <w:rsid w:val="00E4616C"/>
    <w:rsid w:val="00E462E5"/>
    <w:rsid w:val="00E46BC7"/>
    <w:rsid w:val="00E47435"/>
    <w:rsid w:val="00E510F9"/>
    <w:rsid w:val="00E51F5D"/>
    <w:rsid w:val="00E53FF8"/>
    <w:rsid w:val="00E54A51"/>
    <w:rsid w:val="00E56808"/>
    <w:rsid w:val="00E57264"/>
    <w:rsid w:val="00E57B96"/>
    <w:rsid w:val="00E61432"/>
    <w:rsid w:val="00E620D6"/>
    <w:rsid w:val="00E6517E"/>
    <w:rsid w:val="00E66057"/>
    <w:rsid w:val="00E67A1B"/>
    <w:rsid w:val="00E72994"/>
    <w:rsid w:val="00E733A9"/>
    <w:rsid w:val="00E737DD"/>
    <w:rsid w:val="00E73A56"/>
    <w:rsid w:val="00E74B15"/>
    <w:rsid w:val="00E768AA"/>
    <w:rsid w:val="00E838D9"/>
    <w:rsid w:val="00E84007"/>
    <w:rsid w:val="00E843EB"/>
    <w:rsid w:val="00E8482B"/>
    <w:rsid w:val="00E85119"/>
    <w:rsid w:val="00E909E3"/>
    <w:rsid w:val="00E928C8"/>
    <w:rsid w:val="00E97334"/>
    <w:rsid w:val="00E978DE"/>
    <w:rsid w:val="00EA1EB2"/>
    <w:rsid w:val="00EA2184"/>
    <w:rsid w:val="00EA24CF"/>
    <w:rsid w:val="00EA2929"/>
    <w:rsid w:val="00EA2DBA"/>
    <w:rsid w:val="00EA5216"/>
    <w:rsid w:val="00EA64F8"/>
    <w:rsid w:val="00EB1FB1"/>
    <w:rsid w:val="00EB2018"/>
    <w:rsid w:val="00EB53A1"/>
    <w:rsid w:val="00EB6356"/>
    <w:rsid w:val="00EB6E2D"/>
    <w:rsid w:val="00EB7E82"/>
    <w:rsid w:val="00EC0683"/>
    <w:rsid w:val="00EC0900"/>
    <w:rsid w:val="00EC09C4"/>
    <w:rsid w:val="00EC0EB5"/>
    <w:rsid w:val="00EC10A9"/>
    <w:rsid w:val="00EC1B03"/>
    <w:rsid w:val="00EC22D0"/>
    <w:rsid w:val="00EC2A15"/>
    <w:rsid w:val="00EC3C0E"/>
    <w:rsid w:val="00EC6E08"/>
    <w:rsid w:val="00EC7D1D"/>
    <w:rsid w:val="00ED1B5C"/>
    <w:rsid w:val="00ED2C6C"/>
    <w:rsid w:val="00ED478C"/>
    <w:rsid w:val="00ED6872"/>
    <w:rsid w:val="00ED6B01"/>
    <w:rsid w:val="00ED7036"/>
    <w:rsid w:val="00ED716F"/>
    <w:rsid w:val="00EE1044"/>
    <w:rsid w:val="00EE2106"/>
    <w:rsid w:val="00EE2A75"/>
    <w:rsid w:val="00EE3743"/>
    <w:rsid w:val="00EE3C2F"/>
    <w:rsid w:val="00EE3C92"/>
    <w:rsid w:val="00EE4C00"/>
    <w:rsid w:val="00EE4CD5"/>
    <w:rsid w:val="00EE4CEC"/>
    <w:rsid w:val="00EE4FC2"/>
    <w:rsid w:val="00EE5B77"/>
    <w:rsid w:val="00EE5FFE"/>
    <w:rsid w:val="00EE708E"/>
    <w:rsid w:val="00EF04BA"/>
    <w:rsid w:val="00EF19C2"/>
    <w:rsid w:val="00EF264F"/>
    <w:rsid w:val="00EF2E78"/>
    <w:rsid w:val="00EF45FE"/>
    <w:rsid w:val="00EF4E3F"/>
    <w:rsid w:val="00EF4ED4"/>
    <w:rsid w:val="00EF5060"/>
    <w:rsid w:val="00EF6E46"/>
    <w:rsid w:val="00EF7AB2"/>
    <w:rsid w:val="00EF7B07"/>
    <w:rsid w:val="00F039B2"/>
    <w:rsid w:val="00F05381"/>
    <w:rsid w:val="00F06702"/>
    <w:rsid w:val="00F0675F"/>
    <w:rsid w:val="00F075B3"/>
    <w:rsid w:val="00F0762F"/>
    <w:rsid w:val="00F11D10"/>
    <w:rsid w:val="00F1237C"/>
    <w:rsid w:val="00F12B59"/>
    <w:rsid w:val="00F133E0"/>
    <w:rsid w:val="00F13D6A"/>
    <w:rsid w:val="00F13EA1"/>
    <w:rsid w:val="00F148FF"/>
    <w:rsid w:val="00F15CE4"/>
    <w:rsid w:val="00F16063"/>
    <w:rsid w:val="00F16693"/>
    <w:rsid w:val="00F173FC"/>
    <w:rsid w:val="00F20592"/>
    <w:rsid w:val="00F22947"/>
    <w:rsid w:val="00F23214"/>
    <w:rsid w:val="00F23B6A"/>
    <w:rsid w:val="00F23C9C"/>
    <w:rsid w:val="00F24C42"/>
    <w:rsid w:val="00F24CA7"/>
    <w:rsid w:val="00F25896"/>
    <w:rsid w:val="00F25D15"/>
    <w:rsid w:val="00F26F2D"/>
    <w:rsid w:val="00F27D0F"/>
    <w:rsid w:val="00F3014B"/>
    <w:rsid w:val="00F30B9D"/>
    <w:rsid w:val="00F30D73"/>
    <w:rsid w:val="00F31206"/>
    <w:rsid w:val="00F315D2"/>
    <w:rsid w:val="00F3266B"/>
    <w:rsid w:val="00F33124"/>
    <w:rsid w:val="00F33419"/>
    <w:rsid w:val="00F34151"/>
    <w:rsid w:val="00F3737D"/>
    <w:rsid w:val="00F37E88"/>
    <w:rsid w:val="00F43086"/>
    <w:rsid w:val="00F470C3"/>
    <w:rsid w:val="00F510EC"/>
    <w:rsid w:val="00F52258"/>
    <w:rsid w:val="00F52C94"/>
    <w:rsid w:val="00F52DD2"/>
    <w:rsid w:val="00F52F2B"/>
    <w:rsid w:val="00F54468"/>
    <w:rsid w:val="00F562E2"/>
    <w:rsid w:val="00F56F8E"/>
    <w:rsid w:val="00F57C39"/>
    <w:rsid w:val="00F602CD"/>
    <w:rsid w:val="00F6099A"/>
    <w:rsid w:val="00F611A4"/>
    <w:rsid w:val="00F61455"/>
    <w:rsid w:val="00F62299"/>
    <w:rsid w:val="00F6472A"/>
    <w:rsid w:val="00F653B2"/>
    <w:rsid w:val="00F6640C"/>
    <w:rsid w:val="00F67308"/>
    <w:rsid w:val="00F67D43"/>
    <w:rsid w:val="00F705F5"/>
    <w:rsid w:val="00F7138B"/>
    <w:rsid w:val="00F71703"/>
    <w:rsid w:val="00F728A4"/>
    <w:rsid w:val="00F72A90"/>
    <w:rsid w:val="00F7333E"/>
    <w:rsid w:val="00F741DC"/>
    <w:rsid w:val="00F74744"/>
    <w:rsid w:val="00F747EA"/>
    <w:rsid w:val="00F74884"/>
    <w:rsid w:val="00F766AE"/>
    <w:rsid w:val="00F77030"/>
    <w:rsid w:val="00F771BF"/>
    <w:rsid w:val="00F77DB4"/>
    <w:rsid w:val="00F80E12"/>
    <w:rsid w:val="00F826B6"/>
    <w:rsid w:val="00F83F27"/>
    <w:rsid w:val="00F8520B"/>
    <w:rsid w:val="00F85E0A"/>
    <w:rsid w:val="00F875C2"/>
    <w:rsid w:val="00F92FA3"/>
    <w:rsid w:val="00F97AB8"/>
    <w:rsid w:val="00FA0751"/>
    <w:rsid w:val="00FA0F3D"/>
    <w:rsid w:val="00FA11EC"/>
    <w:rsid w:val="00FA13E8"/>
    <w:rsid w:val="00FA3986"/>
    <w:rsid w:val="00FA4DBF"/>
    <w:rsid w:val="00FA5B81"/>
    <w:rsid w:val="00FA5FCE"/>
    <w:rsid w:val="00FA62C4"/>
    <w:rsid w:val="00FA6587"/>
    <w:rsid w:val="00FA7E6E"/>
    <w:rsid w:val="00FB0560"/>
    <w:rsid w:val="00FB27E3"/>
    <w:rsid w:val="00FB499B"/>
    <w:rsid w:val="00FB4DBC"/>
    <w:rsid w:val="00FB5330"/>
    <w:rsid w:val="00FB6B09"/>
    <w:rsid w:val="00FC06B3"/>
    <w:rsid w:val="00FC0AF3"/>
    <w:rsid w:val="00FC1058"/>
    <w:rsid w:val="00FC3F06"/>
    <w:rsid w:val="00FC4063"/>
    <w:rsid w:val="00FC6707"/>
    <w:rsid w:val="00FC6DB2"/>
    <w:rsid w:val="00FC70FB"/>
    <w:rsid w:val="00FC7B71"/>
    <w:rsid w:val="00FD0F6B"/>
    <w:rsid w:val="00FD1ABE"/>
    <w:rsid w:val="00FD2D2E"/>
    <w:rsid w:val="00FD4D0F"/>
    <w:rsid w:val="00FD6124"/>
    <w:rsid w:val="00FE159C"/>
    <w:rsid w:val="00FE33C6"/>
    <w:rsid w:val="00FE435F"/>
    <w:rsid w:val="00FE4F27"/>
    <w:rsid w:val="00FE4FC8"/>
    <w:rsid w:val="00FE5309"/>
    <w:rsid w:val="00FE5C05"/>
    <w:rsid w:val="00FE6744"/>
    <w:rsid w:val="00FE74F4"/>
    <w:rsid w:val="00FF04DE"/>
    <w:rsid w:val="00FF2B81"/>
    <w:rsid w:val="00FF381C"/>
    <w:rsid w:val="00FF4ECD"/>
    <w:rsid w:val="00FF4FA5"/>
    <w:rsid w:val="00FF670E"/>
    <w:rsid w:val="00FF6CAD"/>
    <w:rsid w:val="00FF7CD7"/>
    <w:rsid w:val="01040A2D"/>
    <w:rsid w:val="010501E3"/>
    <w:rsid w:val="010718AA"/>
    <w:rsid w:val="010C2749"/>
    <w:rsid w:val="010E360A"/>
    <w:rsid w:val="010E5BD8"/>
    <w:rsid w:val="0118463B"/>
    <w:rsid w:val="011E1AEB"/>
    <w:rsid w:val="01226795"/>
    <w:rsid w:val="01297242"/>
    <w:rsid w:val="013002D4"/>
    <w:rsid w:val="01425597"/>
    <w:rsid w:val="01440126"/>
    <w:rsid w:val="01444140"/>
    <w:rsid w:val="0147694D"/>
    <w:rsid w:val="01493B89"/>
    <w:rsid w:val="01610C71"/>
    <w:rsid w:val="01661DBE"/>
    <w:rsid w:val="016641A0"/>
    <w:rsid w:val="01A04F04"/>
    <w:rsid w:val="01AB66B3"/>
    <w:rsid w:val="01B54D66"/>
    <w:rsid w:val="01B75D44"/>
    <w:rsid w:val="01C01EC3"/>
    <w:rsid w:val="01C94F0F"/>
    <w:rsid w:val="01CC1118"/>
    <w:rsid w:val="01D32076"/>
    <w:rsid w:val="01DC6A18"/>
    <w:rsid w:val="01DD6018"/>
    <w:rsid w:val="01EC4492"/>
    <w:rsid w:val="01F4633C"/>
    <w:rsid w:val="01F605BC"/>
    <w:rsid w:val="01FE484E"/>
    <w:rsid w:val="01FF6440"/>
    <w:rsid w:val="020C5AFE"/>
    <w:rsid w:val="020F61E0"/>
    <w:rsid w:val="023E44B4"/>
    <w:rsid w:val="02415800"/>
    <w:rsid w:val="02641279"/>
    <w:rsid w:val="027771BB"/>
    <w:rsid w:val="027B3C35"/>
    <w:rsid w:val="028A38EB"/>
    <w:rsid w:val="02912139"/>
    <w:rsid w:val="02985062"/>
    <w:rsid w:val="02AF3A9F"/>
    <w:rsid w:val="02B6240C"/>
    <w:rsid w:val="02BC7B74"/>
    <w:rsid w:val="02C438FB"/>
    <w:rsid w:val="02C47C66"/>
    <w:rsid w:val="02CF7989"/>
    <w:rsid w:val="02ED27E8"/>
    <w:rsid w:val="02ED75DF"/>
    <w:rsid w:val="02F057AC"/>
    <w:rsid w:val="02F16B21"/>
    <w:rsid w:val="02F22874"/>
    <w:rsid w:val="02F35D07"/>
    <w:rsid w:val="02F814A7"/>
    <w:rsid w:val="02FF1B49"/>
    <w:rsid w:val="03025502"/>
    <w:rsid w:val="03053453"/>
    <w:rsid w:val="031605BE"/>
    <w:rsid w:val="03206FEC"/>
    <w:rsid w:val="032508E4"/>
    <w:rsid w:val="032C6CD4"/>
    <w:rsid w:val="03350B86"/>
    <w:rsid w:val="033855D1"/>
    <w:rsid w:val="033A350E"/>
    <w:rsid w:val="034430B8"/>
    <w:rsid w:val="0348211A"/>
    <w:rsid w:val="034B3AD1"/>
    <w:rsid w:val="035249D2"/>
    <w:rsid w:val="03591D19"/>
    <w:rsid w:val="035C490A"/>
    <w:rsid w:val="03624FED"/>
    <w:rsid w:val="03760439"/>
    <w:rsid w:val="03796E77"/>
    <w:rsid w:val="037A270B"/>
    <w:rsid w:val="037E628A"/>
    <w:rsid w:val="03960776"/>
    <w:rsid w:val="03AB0596"/>
    <w:rsid w:val="03C265E1"/>
    <w:rsid w:val="03C30C4A"/>
    <w:rsid w:val="03C56D44"/>
    <w:rsid w:val="03C9042C"/>
    <w:rsid w:val="03E94A66"/>
    <w:rsid w:val="03EB1540"/>
    <w:rsid w:val="03F24832"/>
    <w:rsid w:val="03FB4959"/>
    <w:rsid w:val="040766A9"/>
    <w:rsid w:val="040A6AAB"/>
    <w:rsid w:val="04112DC0"/>
    <w:rsid w:val="04125B88"/>
    <w:rsid w:val="041D41E4"/>
    <w:rsid w:val="041E2E4C"/>
    <w:rsid w:val="041E5D1B"/>
    <w:rsid w:val="042E6251"/>
    <w:rsid w:val="04300B93"/>
    <w:rsid w:val="04426E26"/>
    <w:rsid w:val="044C6A29"/>
    <w:rsid w:val="0457491C"/>
    <w:rsid w:val="045D09DD"/>
    <w:rsid w:val="045F0A76"/>
    <w:rsid w:val="045F23A0"/>
    <w:rsid w:val="046361B1"/>
    <w:rsid w:val="04643BB7"/>
    <w:rsid w:val="046F625C"/>
    <w:rsid w:val="047D7035"/>
    <w:rsid w:val="04913F58"/>
    <w:rsid w:val="04A824BC"/>
    <w:rsid w:val="04A9423D"/>
    <w:rsid w:val="04AA13E6"/>
    <w:rsid w:val="04B16530"/>
    <w:rsid w:val="04C02116"/>
    <w:rsid w:val="04C04F90"/>
    <w:rsid w:val="04CA1B06"/>
    <w:rsid w:val="04CD6DB1"/>
    <w:rsid w:val="04D33296"/>
    <w:rsid w:val="04F35C29"/>
    <w:rsid w:val="04F75B62"/>
    <w:rsid w:val="04FE6306"/>
    <w:rsid w:val="050F11A2"/>
    <w:rsid w:val="05105915"/>
    <w:rsid w:val="05140CB1"/>
    <w:rsid w:val="05222C3A"/>
    <w:rsid w:val="0523145E"/>
    <w:rsid w:val="054E37D6"/>
    <w:rsid w:val="055336CA"/>
    <w:rsid w:val="055E073C"/>
    <w:rsid w:val="056054A6"/>
    <w:rsid w:val="057370E9"/>
    <w:rsid w:val="05740172"/>
    <w:rsid w:val="057B2C9E"/>
    <w:rsid w:val="0581685A"/>
    <w:rsid w:val="059F6CA3"/>
    <w:rsid w:val="05A21CB9"/>
    <w:rsid w:val="05AC60D1"/>
    <w:rsid w:val="05B523A2"/>
    <w:rsid w:val="05BA793F"/>
    <w:rsid w:val="05BB187B"/>
    <w:rsid w:val="05CC565A"/>
    <w:rsid w:val="05D25822"/>
    <w:rsid w:val="05E313C5"/>
    <w:rsid w:val="05FE6A2E"/>
    <w:rsid w:val="060E14DD"/>
    <w:rsid w:val="062277E6"/>
    <w:rsid w:val="06231298"/>
    <w:rsid w:val="06236C2A"/>
    <w:rsid w:val="06242C9D"/>
    <w:rsid w:val="064601FA"/>
    <w:rsid w:val="066044A4"/>
    <w:rsid w:val="0663473C"/>
    <w:rsid w:val="06680957"/>
    <w:rsid w:val="066C68AA"/>
    <w:rsid w:val="06702443"/>
    <w:rsid w:val="06785DB1"/>
    <w:rsid w:val="0683748C"/>
    <w:rsid w:val="068A002F"/>
    <w:rsid w:val="068C39C9"/>
    <w:rsid w:val="06901CD2"/>
    <w:rsid w:val="069553FE"/>
    <w:rsid w:val="069A7C2F"/>
    <w:rsid w:val="06A54AC8"/>
    <w:rsid w:val="06B07344"/>
    <w:rsid w:val="06C63F44"/>
    <w:rsid w:val="06C65BDD"/>
    <w:rsid w:val="06C84DFA"/>
    <w:rsid w:val="06D87287"/>
    <w:rsid w:val="06DF5548"/>
    <w:rsid w:val="06F3292F"/>
    <w:rsid w:val="070C5D17"/>
    <w:rsid w:val="07282785"/>
    <w:rsid w:val="072F1CD3"/>
    <w:rsid w:val="07323E86"/>
    <w:rsid w:val="073C242D"/>
    <w:rsid w:val="07431C82"/>
    <w:rsid w:val="07481F7B"/>
    <w:rsid w:val="07484281"/>
    <w:rsid w:val="074C5137"/>
    <w:rsid w:val="075432DC"/>
    <w:rsid w:val="075B3ED1"/>
    <w:rsid w:val="07633C00"/>
    <w:rsid w:val="078331AD"/>
    <w:rsid w:val="078F5BDB"/>
    <w:rsid w:val="079535D5"/>
    <w:rsid w:val="07991B53"/>
    <w:rsid w:val="079A3C03"/>
    <w:rsid w:val="07A347A2"/>
    <w:rsid w:val="07AA30B3"/>
    <w:rsid w:val="07AC3D05"/>
    <w:rsid w:val="07B13E87"/>
    <w:rsid w:val="07C6363D"/>
    <w:rsid w:val="07CB33BD"/>
    <w:rsid w:val="07DD7549"/>
    <w:rsid w:val="07FB05B2"/>
    <w:rsid w:val="08046F53"/>
    <w:rsid w:val="083522B3"/>
    <w:rsid w:val="08373DFA"/>
    <w:rsid w:val="083A40A4"/>
    <w:rsid w:val="08440DB3"/>
    <w:rsid w:val="084430E8"/>
    <w:rsid w:val="08476B61"/>
    <w:rsid w:val="08491455"/>
    <w:rsid w:val="0851678C"/>
    <w:rsid w:val="085C6980"/>
    <w:rsid w:val="085E24F3"/>
    <w:rsid w:val="08696F8F"/>
    <w:rsid w:val="08852FF3"/>
    <w:rsid w:val="088C076B"/>
    <w:rsid w:val="08947753"/>
    <w:rsid w:val="089D15ED"/>
    <w:rsid w:val="08A90078"/>
    <w:rsid w:val="08B70DFB"/>
    <w:rsid w:val="08C376C8"/>
    <w:rsid w:val="08D242EA"/>
    <w:rsid w:val="08D63F1F"/>
    <w:rsid w:val="08D830E7"/>
    <w:rsid w:val="08E24961"/>
    <w:rsid w:val="08F47191"/>
    <w:rsid w:val="09102503"/>
    <w:rsid w:val="091C6AF7"/>
    <w:rsid w:val="094B1307"/>
    <w:rsid w:val="095616CC"/>
    <w:rsid w:val="095F703B"/>
    <w:rsid w:val="095F703D"/>
    <w:rsid w:val="096014F4"/>
    <w:rsid w:val="096E277B"/>
    <w:rsid w:val="09730374"/>
    <w:rsid w:val="09735DBE"/>
    <w:rsid w:val="0977121D"/>
    <w:rsid w:val="09842088"/>
    <w:rsid w:val="09867DE0"/>
    <w:rsid w:val="099A40BB"/>
    <w:rsid w:val="099D3930"/>
    <w:rsid w:val="09A121E1"/>
    <w:rsid w:val="09B6703A"/>
    <w:rsid w:val="09B74137"/>
    <w:rsid w:val="09C50013"/>
    <w:rsid w:val="09CE2A21"/>
    <w:rsid w:val="09CF28EB"/>
    <w:rsid w:val="09D33211"/>
    <w:rsid w:val="09DF39D3"/>
    <w:rsid w:val="09E755ED"/>
    <w:rsid w:val="09E953AC"/>
    <w:rsid w:val="09F6302E"/>
    <w:rsid w:val="09FB3384"/>
    <w:rsid w:val="09FE49AC"/>
    <w:rsid w:val="0A020198"/>
    <w:rsid w:val="0A11581A"/>
    <w:rsid w:val="0A141878"/>
    <w:rsid w:val="0A1536D8"/>
    <w:rsid w:val="0A1C52AD"/>
    <w:rsid w:val="0A6744E8"/>
    <w:rsid w:val="0A773C7B"/>
    <w:rsid w:val="0A98262A"/>
    <w:rsid w:val="0ABA169D"/>
    <w:rsid w:val="0ACB44A8"/>
    <w:rsid w:val="0AE01BFC"/>
    <w:rsid w:val="0AE4604A"/>
    <w:rsid w:val="0AE50B01"/>
    <w:rsid w:val="0B031007"/>
    <w:rsid w:val="0B097D0B"/>
    <w:rsid w:val="0B1A625A"/>
    <w:rsid w:val="0B253C09"/>
    <w:rsid w:val="0B3042BA"/>
    <w:rsid w:val="0B406859"/>
    <w:rsid w:val="0B4F2D6C"/>
    <w:rsid w:val="0B563218"/>
    <w:rsid w:val="0B69370D"/>
    <w:rsid w:val="0B7B616B"/>
    <w:rsid w:val="0B836178"/>
    <w:rsid w:val="0B91561C"/>
    <w:rsid w:val="0B9300D7"/>
    <w:rsid w:val="0BB86E27"/>
    <w:rsid w:val="0BBB1002"/>
    <w:rsid w:val="0BC90E16"/>
    <w:rsid w:val="0BCE67E0"/>
    <w:rsid w:val="0BD1264B"/>
    <w:rsid w:val="0BEA0DE1"/>
    <w:rsid w:val="0BEA3D8E"/>
    <w:rsid w:val="0BF002C3"/>
    <w:rsid w:val="0BF34A99"/>
    <w:rsid w:val="0BF80F9C"/>
    <w:rsid w:val="0BFE7CE8"/>
    <w:rsid w:val="0C2363FC"/>
    <w:rsid w:val="0C2A73C8"/>
    <w:rsid w:val="0C2D1989"/>
    <w:rsid w:val="0C35241D"/>
    <w:rsid w:val="0C356FB5"/>
    <w:rsid w:val="0C381CDB"/>
    <w:rsid w:val="0C496C07"/>
    <w:rsid w:val="0C4978E8"/>
    <w:rsid w:val="0C4A1A3D"/>
    <w:rsid w:val="0C4F4F9F"/>
    <w:rsid w:val="0C570B36"/>
    <w:rsid w:val="0C65504A"/>
    <w:rsid w:val="0C7B3D41"/>
    <w:rsid w:val="0C803B6D"/>
    <w:rsid w:val="0C806A8C"/>
    <w:rsid w:val="0C8318A5"/>
    <w:rsid w:val="0CA2544B"/>
    <w:rsid w:val="0CA41A15"/>
    <w:rsid w:val="0CA81F56"/>
    <w:rsid w:val="0CB05927"/>
    <w:rsid w:val="0CB45768"/>
    <w:rsid w:val="0CBA3201"/>
    <w:rsid w:val="0CBB285E"/>
    <w:rsid w:val="0CD74806"/>
    <w:rsid w:val="0CF42D21"/>
    <w:rsid w:val="0CFB2126"/>
    <w:rsid w:val="0D180EB8"/>
    <w:rsid w:val="0D21090A"/>
    <w:rsid w:val="0D212885"/>
    <w:rsid w:val="0D28464C"/>
    <w:rsid w:val="0D4767FF"/>
    <w:rsid w:val="0D494A26"/>
    <w:rsid w:val="0D4F4641"/>
    <w:rsid w:val="0D516BA4"/>
    <w:rsid w:val="0D597712"/>
    <w:rsid w:val="0D626B2B"/>
    <w:rsid w:val="0D652C6F"/>
    <w:rsid w:val="0D675689"/>
    <w:rsid w:val="0D794FAE"/>
    <w:rsid w:val="0D8263BA"/>
    <w:rsid w:val="0D907B84"/>
    <w:rsid w:val="0D942ACE"/>
    <w:rsid w:val="0D9F4952"/>
    <w:rsid w:val="0DAC1AC4"/>
    <w:rsid w:val="0DBA41D8"/>
    <w:rsid w:val="0DD52435"/>
    <w:rsid w:val="0DD84239"/>
    <w:rsid w:val="0DD969BA"/>
    <w:rsid w:val="0DDC023A"/>
    <w:rsid w:val="0DE8475D"/>
    <w:rsid w:val="0E007887"/>
    <w:rsid w:val="0E010051"/>
    <w:rsid w:val="0E08423E"/>
    <w:rsid w:val="0E0905E9"/>
    <w:rsid w:val="0E0D7AD7"/>
    <w:rsid w:val="0E172A8B"/>
    <w:rsid w:val="0E1E2DFD"/>
    <w:rsid w:val="0E2247B0"/>
    <w:rsid w:val="0E390463"/>
    <w:rsid w:val="0E3F5F1F"/>
    <w:rsid w:val="0E423C51"/>
    <w:rsid w:val="0E551B68"/>
    <w:rsid w:val="0E5900D6"/>
    <w:rsid w:val="0E636F31"/>
    <w:rsid w:val="0E6500FE"/>
    <w:rsid w:val="0E696466"/>
    <w:rsid w:val="0E7F5CCD"/>
    <w:rsid w:val="0E930633"/>
    <w:rsid w:val="0E965DCD"/>
    <w:rsid w:val="0E986CC6"/>
    <w:rsid w:val="0E9E5F39"/>
    <w:rsid w:val="0EA06550"/>
    <w:rsid w:val="0EA261ED"/>
    <w:rsid w:val="0EA9384F"/>
    <w:rsid w:val="0EB11A37"/>
    <w:rsid w:val="0EC43154"/>
    <w:rsid w:val="0ECC6107"/>
    <w:rsid w:val="0ECE7381"/>
    <w:rsid w:val="0ED46977"/>
    <w:rsid w:val="0EE66451"/>
    <w:rsid w:val="0EEE617E"/>
    <w:rsid w:val="0EEF5D81"/>
    <w:rsid w:val="0F0E32B5"/>
    <w:rsid w:val="0F1774B6"/>
    <w:rsid w:val="0F1B243E"/>
    <w:rsid w:val="0F356EEF"/>
    <w:rsid w:val="0F3B4E89"/>
    <w:rsid w:val="0F47660A"/>
    <w:rsid w:val="0F5C7FE1"/>
    <w:rsid w:val="0F7A5DAF"/>
    <w:rsid w:val="0F7A7BA7"/>
    <w:rsid w:val="0F810D70"/>
    <w:rsid w:val="0F851150"/>
    <w:rsid w:val="0F8E1916"/>
    <w:rsid w:val="0F8E7546"/>
    <w:rsid w:val="0FA16500"/>
    <w:rsid w:val="0FAF19FD"/>
    <w:rsid w:val="0FB600A3"/>
    <w:rsid w:val="0FB977E6"/>
    <w:rsid w:val="0FC36A25"/>
    <w:rsid w:val="0FCD3C71"/>
    <w:rsid w:val="0FD304CA"/>
    <w:rsid w:val="0FEB580A"/>
    <w:rsid w:val="10022242"/>
    <w:rsid w:val="10196399"/>
    <w:rsid w:val="10286915"/>
    <w:rsid w:val="104B4235"/>
    <w:rsid w:val="104E6C7F"/>
    <w:rsid w:val="1052783C"/>
    <w:rsid w:val="106171AE"/>
    <w:rsid w:val="10631DBE"/>
    <w:rsid w:val="10666ED5"/>
    <w:rsid w:val="106C0A8D"/>
    <w:rsid w:val="106E2A4B"/>
    <w:rsid w:val="107365C6"/>
    <w:rsid w:val="107B08E1"/>
    <w:rsid w:val="107E7253"/>
    <w:rsid w:val="10901DA3"/>
    <w:rsid w:val="109E0D36"/>
    <w:rsid w:val="10BA3AC7"/>
    <w:rsid w:val="10BB7ACD"/>
    <w:rsid w:val="10C35F97"/>
    <w:rsid w:val="10DE1949"/>
    <w:rsid w:val="10F540E8"/>
    <w:rsid w:val="10FD5447"/>
    <w:rsid w:val="110A47C2"/>
    <w:rsid w:val="110E5234"/>
    <w:rsid w:val="11302CDC"/>
    <w:rsid w:val="11325473"/>
    <w:rsid w:val="113D379F"/>
    <w:rsid w:val="11747D22"/>
    <w:rsid w:val="117F3FC5"/>
    <w:rsid w:val="11801E7F"/>
    <w:rsid w:val="118961B0"/>
    <w:rsid w:val="119D35F2"/>
    <w:rsid w:val="119D64C3"/>
    <w:rsid w:val="11C401A4"/>
    <w:rsid w:val="11CE5FFE"/>
    <w:rsid w:val="11DD1022"/>
    <w:rsid w:val="11E6284A"/>
    <w:rsid w:val="11FA65FB"/>
    <w:rsid w:val="11FC18EB"/>
    <w:rsid w:val="121235DD"/>
    <w:rsid w:val="121A6789"/>
    <w:rsid w:val="12265D0C"/>
    <w:rsid w:val="122A68C2"/>
    <w:rsid w:val="122D48DE"/>
    <w:rsid w:val="123D25A3"/>
    <w:rsid w:val="12566309"/>
    <w:rsid w:val="125C3915"/>
    <w:rsid w:val="125D4115"/>
    <w:rsid w:val="12611B38"/>
    <w:rsid w:val="12660D6C"/>
    <w:rsid w:val="126A2CCD"/>
    <w:rsid w:val="12715A28"/>
    <w:rsid w:val="127754A6"/>
    <w:rsid w:val="12883327"/>
    <w:rsid w:val="12917B76"/>
    <w:rsid w:val="129B54E0"/>
    <w:rsid w:val="12AF11F9"/>
    <w:rsid w:val="12B321DE"/>
    <w:rsid w:val="12B40F2E"/>
    <w:rsid w:val="12DF1034"/>
    <w:rsid w:val="12E253B4"/>
    <w:rsid w:val="12F6636E"/>
    <w:rsid w:val="12FB2F87"/>
    <w:rsid w:val="13070D2D"/>
    <w:rsid w:val="131B7B4A"/>
    <w:rsid w:val="131F4F20"/>
    <w:rsid w:val="13307E6F"/>
    <w:rsid w:val="13330107"/>
    <w:rsid w:val="133437DF"/>
    <w:rsid w:val="1338225D"/>
    <w:rsid w:val="13444B6D"/>
    <w:rsid w:val="134452F6"/>
    <w:rsid w:val="134A3822"/>
    <w:rsid w:val="13602886"/>
    <w:rsid w:val="13665751"/>
    <w:rsid w:val="13750414"/>
    <w:rsid w:val="137A6C89"/>
    <w:rsid w:val="138244E3"/>
    <w:rsid w:val="13B93A67"/>
    <w:rsid w:val="13C16CCA"/>
    <w:rsid w:val="13C56476"/>
    <w:rsid w:val="13D0351B"/>
    <w:rsid w:val="13D212A0"/>
    <w:rsid w:val="13DC650B"/>
    <w:rsid w:val="13E16B84"/>
    <w:rsid w:val="13E86489"/>
    <w:rsid w:val="14003594"/>
    <w:rsid w:val="140A1323"/>
    <w:rsid w:val="141E2661"/>
    <w:rsid w:val="14217C3D"/>
    <w:rsid w:val="14382841"/>
    <w:rsid w:val="14402D2E"/>
    <w:rsid w:val="14412BB5"/>
    <w:rsid w:val="144A3DF0"/>
    <w:rsid w:val="144A76CC"/>
    <w:rsid w:val="14545939"/>
    <w:rsid w:val="1456175B"/>
    <w:rsid w:val="14594CF9"/>
    <w:rsid w:val="146F18C7"/>
    <w:rsid w:val="147D02AE"/>
    <w:rsid w:val="1486522B"/>
    <w:rsid w:val="14A1113A"/>
    <w:rsid w:val="14A263F4"/>
    <w:rsid w:val="14AA6D24"/>
    <w:rsid w:val="14B16CE9"/>
    <w:rsid w:val="14B23528"/>
    <w:rsid w:val="14B75536"/>
    <w:rsid w:val="14E43084"/>
    <w:rsid w:val="14E750EF"/>
    <w:rsid w:val="14EC2872"/>
    <w:rsid w:val="14ED4F03"/>
    <w:rsid w:val="14F70AE2"/>
    <w:rsid w:val="14F95B7B"/>
    <w:rsid w:val="14FA08BB"/>
    <w:rsid w:val="15002DA5"/>
    <w:rsid w:val="1523279E"/>
    <w:rsid w:val="1525723B"/>
    <w:rsid w:val="15276929"/>
    <w:rsid w:val="152D1520"/>
    <w:rsid w:val="15375546"/>
    <w:rsid w:val="153C2B43"/>
    <w:rsid w:val="153F6C5F"/>
    <w:rsid w:val="154B6471"/>
    <w:rsid w:val="154F4B46"/>
    <w:rsid w:val="156374D5"/>
    <w:rsid w:val="158124F1"/>
    <w:rsid w:val="1581388C"/>
    <w:rsid w:val="15910AC6"/>
    <w:rsid w:val="159B69D5"/>
    <w:rsid w:val="159D3315"/>
    <w:rsid w:val="159D48DE"/>
    <w:rsid w:val="15A935B9"/>
    <w:rsid w:val="15C17694"/>
    <w:rsid w:val="15C66E36"/>
    <w:rsid w:val="15CF502D"/>
    <w:rsid w:val="15D24E58"/>
    <w:rsid w:val="15D8043E"/>
    <w:rsid w:val="15DA219D"/>
    <w:rsid w:val="15DD18C0"/>
    <w:rsid w:val="15E013AB"/>
    <w:rsid w:val="15E1464B"/>
    <w:rsid w:val="15E70565"/>
    <w:rsid w:val="15F07770"/>
    <w:rsid w:val="15F852DA"/>
    <w:rsid w:val="160D1002"/>
    <w:rsid w:val="16162DC6"/>
    <w:rsid w:val="16251DA8"/>
    <w:rsid w:val="16293369"/>
    <w:rsid w:val="163575E8"/>
    <w:rsid w:val="163E2F74"/>
    <w:rsid w:val="164449A5"/>
    <w:rsid w:val="16524615"/>
    <w:rsid w:val="16701BA9"/>
    <w:rsid w:val="16794789"/>
    <w:rsid w:val="16843805"/>
    <w:rsid w:val="169075C2"/>
    <w:rsid w:val="16921DDE"/>
    <w:rsid w:val="16991717"/>
    <w:rsid w:val="16A40E85"/>
    <w:rsid w:val="16AA5684"/>
    <w:rsid w:val="16AA57F8"/>
    <w:rsid w:val="16AF0BD5"/>
    <w:rsid w:val="16B025E3"/>
    <w:rsid w:val="16B04AB9"/>
    <w:rsid w:val="16CB7192"/>
    <w:rsid w:val="16D349C5"/>
    <w:rsid w:val="16DC700C"/>
    <w:rsid w:val="16EE4390"/>
    <w:rsid w:val="16FA74DB"/>
    <w:rsid w:val="17037007"/>
    <w:rsid w:val="17174465"/>
    <w:rsid w:val="1720658A"/>
    <w:rsid w:val="17367CB7"/>
    <w:rsid w:val="173D190A"/>
    <w:rsid w:val="17475BE6"/>
    <w:rsid w:val="17520200"/>
    <w:rsid w:val="175A7485"/>
    <w:rsid w:val="1778066E"/>
    <w:rsid w:val="177F7F07"/>
    <w:rsid w:val="1782058A"/>
    <w:rsid w:val="178D7FDF"/>
    <w:rsid w:val="179E3CBA"/>
    <w:rsid w:val="17A57C34"/>
    <w:rsid w:val="17A8422E"/>
    <w:rsid w:val="17B51634"/>
    <w:rsid w:val="17D038FA"/>
    <w:rsid w:val="17E54428"/>
    <w:rsid w:val="17F43268"/>
    <w:rsid w:val="17FB4456"/>
    <w:rsid w:val="1824197B"/>
    <w:rsid w:val="183E01F2"/>
    <w:rsid w:val="18561071"/>
    <w:rsid w:val="185D641B"/>
    <w:rsid w:val="185E211E"/>
    <w:rsid w:val="186D0D78"/>
    <w:rsid w:val="187B731C"/>
    <w:rsid w:val="187F0185"/>
    <w:rsid w:val="187F0946"/>
    <w:rsid w:val="18891E1A"/>
    <w:rsid w:val="188E011E"/>
    <w:rsid w:val="188F14F6"/>
    <w:rsid w:val="18960714"/>
    <w:rsid w:val="189E58C0"/>
    <w:rsid w:val="18A35005"/>
    <w:rsid w:val="18A37861"/>
    <w:rsid w:val="18AC4F24"/>
    <w:rsid w:val="18B03BF6"/>
    <w:rsid w:val="18C82345"/>
    <w:rsid w:val="18F61349"/>
    <w:rsid w:val="18F7565A"/>
    <w:rsid w:val="1908280D"/>
    <w:rsid w:val="190C431C"/>
    <w:rsid w:val="191614C1"/>
    <w:rsid w:val="191E699B"/>
    <w:rsid w:val="1927228A"/>
    <w:rsid w:val="192E2B17"/>
    <w:rsid w:val="19353CCB"/>
    <w:rsid w:val="19410865"/>
    <w:rsid w:val="194A3718"/>
    <w:rsid w:val="194A7961"/>
    <w:rsid w:val="194B59C6"/>
    <w:rsid w:val="194E79EF"/>
    <w:rsid w:val="19547046"/>
    <w:rsid w:val="195A7360"/>
    <w:rsid w:val="195C0726"/>
    <w:rsid w:val="196A09A6"/>
    <w:rsid w:val="1976312B"/>
    <w:rsid w:val="198617D1"/>
    <w:rsid w:val="198E64AB"/>
    <w:rsid w:val="19B57DC5"/>
    <w:rsid w:val="19CA2FF3"/>
    <w:rsid w:val="19DB2E4B"/>
    <w:rsid w:val="19E437EC"/>
    <w:rsid w:val="19F040D4"/>
    <w:rsid w:val="19F22D31"/>
    <w:rsid w:val="19F347CD"/>
    <w:rsid w:val="1A0502D0"/>
    <w:rsid w:val="1A0A479E"/>
    <w:rsid w:val="1A1421E2"/>
    <w:rsid w:val="1A347BC0"/>
    <w:rsid w:val="1A3E45F5"/>
    <w:rsid w:val="1A4153CC"/>
    <w:rsid w:val="1A432C43"/>
    <w:rsid w:val="1A442221"/>
    <w:rsid w:val="1A4A0750"/>
    <w:rsid w:val="1A4F3A44"/>
    <w:rsid w:val="1A6F4932"/>
    <w:rsid w:val="1A841AED"/>
    <w:rsid w:val="1A9A3DF9"/>
    <w:rsid w:val="1A9C1F29"/>
    <w:rsid w:val="1AA6610E"/>
    <w:rsid w:val="1AAB32D7"/>
    <w:rsid w:val="1AB418D6"/>
    <w:rsid w:val="1AC47E1C"/>
    <w:rsid w:val="1ACB52E2"/>
    <w:rsid w:val="1AD25554"/>
    <w:rsid w:val="1AEC5F6F"/>
    <w:rsid w:val="1AEC6044"/>
    <w:rsid w:val="1AF556A9"/>
    <w:rsid w:val="1AFF4BEF"/>
    <w:rsid w:val="1B0105DC"/>
    <w:rsid w:val="1B056BDE"/>
    <w:rsid w:val="1B2E6873"/>
    <w:rsid w:val="1B3B6F2D"/>
    <w:rsid w:val="1B5E524A"/>
    <w:rsid w:val="1B7645BD"/>
    <w:rsid w:val="1B8505BB"/>
    <w:rsid w:val="1BA40B28"/>
    <w:rsid w:val="1BAB6B24"/>
    <w:rsid w:val="1BB51192"/>
    <w:rsid w:val="1BBE6C1F"/>
    <w:rsid w:val="1BBE79FF"/>
    <w:rsid w:val="1BC269E9"/>
    <w:rsid w:val="1BC5549C"/>
    <w:rsid w:val="1BCE554E"/>
    <w:rsid w:val="1BD01AC1"/>
    <w:rsid w:val="1BD521D9"/>
    <w:rsid w:val="1BD779EE"/>
    <w:rsid w:val="1BEB10A7"/>
    <w:rsid w:val="1BF645FF"/>
    <w:rsid w:val="1C136E0E"/>
    <w:rsid w:val="1C1628DD"/>
    <w:rsid w:val="1C1712E8"/>
    <w:rsid w:val="1C242DCF"/>
    <w:rsid w:val="1C287FC6"/>
    <w:rsid w:val="1C305A31"/>
    <w:rsid w:val="1C3128FB"/>
    <w:rsid w:val="1C3363C0"/>
    <w:rsid w:val="1C3D42F9"/>
    <w:rsid w:val="1C435D8B"/>
    <w:rsid w:val="1C4759D0"/>
    <w:rsid w:val="1C48648E"/>
    <w:rsid w:val="1C517FEA"/>
    <w:rsid w:val="1C537EFD"/>
    <w:rsid w:val="1C5A4FE9"/>
    <w:rsid w:val="1C611D83"/>
    <w:rsid w:val="1C621DBD"/>
    <w:rsid w:val="1C6B630D"/>
    <w:rsid w:val="1C72235E"/>
    <w:rsid w:val="1C757DE2"/>
    <w:rsid w:val="1C765B97"/>
    <w:rsid w:val="1C8F3458"/>
    <w:rsid w:val="1CA4234F"/>
    <w:rsid w:val="1CA65D2F"/>
    <w:rsid w:val="1CAB24DD"/>
    <w:rsid w:val="1CC74C91"/>
    <w:rsid w:val="1CC776CF"/>
    <w:rsid w:val="1CD1143A"/>
    <w:rsid w:val="1CDE69BB"/>
    <w:rsid w:val="1CF84623"/>
    <w:rsid w:val="1D0D07DD"/>
    <w:rsid w:val="1D144D60"/>
    <w:rsid w:val="1D19097E"/>
    <w:rsid w:val="1D216AA0"/>
    <w:rsid w:val="1D2A6930"/>
    <w:rsid w:val="1D30369F"/>
    <w:rsid w:val="1D404CFC"/>
    <w:rsid w:val="1D4659D2"/>
    <w:rsid w:val="1D4C2F4E"/>
    <w:rsid w:val="1D545E6D"/>
    <w:rsid w:val="1D635A07"/>
    <w:rsid w:val="1D641FF9"/>
    <w:rsid w:val="1D68791B"/>
    <w:rsid w:val="1D6D6525"/>
    <w:rsid w:val="1D730460"/>
    <w:rsid w:val="1D783B20"/>
    <w:rsid w:val="1D871C7B"/>
    <w:rsid w:val="1DB0250E"/>
    <w:rsid w:val="1DB75C76"/>
    <w:rsid w:val="1DBC64C3"/>
    <w:rsid w:val="1DC9080C"/>
    <w:rsid w:val="1DCF0929"/>
    <w:rsid w:val="1DD61E17"/>
    <w:rsid w:val="1DE56517"/>
    <w:rsid w:val="1DE81930"/>
    <w:rsid w:val="1DE859B2"/>
    <w:rsid w:val="1DEF24E3"/>
    <w:rsid w:val="1E065FA6"/>
    <w:rsid w:val="1E0B5C4D"/>
    <w:rsid w:val="1E497368"/>
    <w:rsid w:val="1E4A0082"/>
    <w:rsid w:val="1E4D58FF"/>
    <w:rsid w:val="1E623AEF"/>
    <w:rsid w:val="1E696EFE"/>
    <w:rsid w:val="1E6F1A07"/>
    <w:rsid w:val="1E71635E"/>
    <w:rsid w:val="1E73212B"/>
    <w:rsid w:val="1E86065F"/>
    <w:rsid w:val="1E8A1711"/>
    <w:rsid w:val="1E9E63C3"/>
    <w:rsid w:val="1EA03AE4"/>
    <w:rsid w:val="1EA32125"/>
    <w:rsid w:val="1EB352BA"/>
    <w:rsid w:val="1EB80895"/>
    <w:rsid w:val="1EC129A3"/>
    <w:rsid w:val="1EC20D27"/>
    <w:rsid w:val="1ED924A1"/>
    <w:rsid w:val="1EDC014A"/>
    <w:rsid w:val="1EE1117B"/>
    <w:rsid w:val="1EEF497C"/>
    <w:rsid w:val="1EF10513"/>
    <w:rsid w:val="1EFB3095"/>
    <w:rsid w:val="1EFD2FF2"/>
    <w:rsid w:val="1EFE67CA"/>
    <w:rsid w:val="1F0B52B8"/>
    <w:rsid w:val="1F0D6828"/>
    <w:rsid w:val="1F0E1616"/>
    <w:rsid w:val="1F120F51"/>
    <w:rsid w:val="1F141C75"/>
    <w:rsid w:val="1F143617"/>
    <w:rsid w:val="1F195127"/>
    <w:rsid w:val="1F1C351E"/>
    <w:rsid w:val="1F327509"/>
    <w:rsid w:val="1F393A9B"/>
    <w:rsid w:val="1F3C37C6"/>
    <w:rsid w:val="1F476402"/>
    <w:rsid w:val="1F482973"/>
    <w:rsid w:val="1F4829BD"/>
    <w:rsid w:val="1F4E3E93"/>
    <w:rsid w:val="1F4F5AA4"/>
    <w:rsid w:val="1F552C22"/>
    <w:rsid w:val="1F702A36"/>
    <w:rsid w:val="1F715ABB"/>
    <w:rsid w:val="1F7A3059"/>
    <w:rsid w:val="1F7D396E"/>
    <w:rsid w:val="1F9956BE"/>
    <w:rsid w:val="1FAA1920"/>
    <w:rsid w:val="1FAF73A8"/>
    <w:rsid w:val="1FB60B25"/>
    <w:rsid w:val="1FBC01FC"/>
    <w:rsid w:val="1FBE3BD4"/>
    <w:rsid w:val="1FE830B3"/>
    <w:rsid w:val="1FEC6997"/>
    <w:rsid w:val="1FF25F59"/>
    <w:rsid w:val="20053D71"/>
    <w:rsid w:val="20061D4F"/>
    <w:rsid w:val="20151B20"/>
    <w:rsid w:val="2018326F"/>
    <w:rsid w:val="20280E55"/>
    <w:rsid w:val="203516D6"/>
    <w:rsid w:val="20432CC6"/>
    <w:rsid w:val="205556A6"/>
    <w:rsid w:val="205B1BCE"/>
    <w:rsid w:val="20717E33"/>
    <w:rsid w:val="207A07EE"/>
    <w:rsid w:val="208067F9"/>
    <w:rsid w:val="20810FF8"/>
    <w:rsid w:val="208308D1"/>
    <w:rsid w:val="20902C21"/>
    <w:rsid w:val="209E6190"/>
    <w:rsid w:val="209F65E0"/>
    <w:rsid w:val="20A7662F"/>
    <w:rsid w:val="20A80C2E"/>
    <w:rsid w:val="20AC10A4"/>
    <w:rsid w:val="20C52073"/>
    <w:rsid w:val="20D5589C"/>
    <w:rsid w:val="20D94F7C"/>
    <w:rsid w:val="20E735AE"/>
    <w:rsid w:val="20F42971"/>
    <w:rsid w:val="20FE4BAD"/>
    <w:rsid w:val="21066149"/>
    <w:rsid w:val="21091C23"/>
    <w:rsid w:val="210B0E50"/>
    <w:rsid w:val="210B524F"/>
    <w:rsid w:val="21111408"/>
    <w:rsid w:val="211613D7"/>
    <w:rsid w:val="21275AA7"/>
    <w:rsid w:val="212A08D7"/>
    <w:rsid w:val="21330E5C"/>
    <w:rsid w:val="21390658"/>
    <w:rsid w:val="213F5D23"/>
    <w:rsid w:val="2158438A"/>
    <w:rsid w:val="215B18A7"/>
    <w:rsid w:val="216C4FD7"/>
    <w:rsid w:val="216F33D7"/>
    <w:rsid w:val="21783236"/>
    <w:rsid w:val="217B30D5"/>
    <w:rsid w:val="21812470"/>
    <w:rsid w:val="218F4F0D"/>
    <w:rsid w:val="21A14D44"/>
    <w:rsid w:val="21A33405"/>
    <w:rsid w:val="21A81ECD"/>
    <w:rsid w:val="21C02B28"/>
    <w:rsid w:val="21C20B66"/>
    <w:rsid w:val="21E07C15"/>
    <w:rsid w:val="21E9664D"/>
    <w:rsid w:val="21FE0CAD"/>
    <w:rsid w:val="22025729"/>
    <w:rsid w:val="22064ED0"/>
    <w:rsid w:val="22073E87"/>
    <w:rsid w:val="220E6563"/>
    <w:rsid w:val="222A0719"/>
    <w:rsid w:val="2233173D"/>
    <w:rsid w:val="22381D17"/>
    <w:rsid w:val="223A0571"/>
    <w:rsid w:val="223A76C7"/>
    <w:rsid w:val="224221C2"/>
    <w:rsid w:val="22432B66"/>
    <w:rsid w:val="22467543"/>
    <w:rsid w:val="225557C8"/>
    <w:rsid w:val="225F0BDC"/>
    <w:rsid w:val="2263327C"/>
    <w:rsid w:val="2264736F"/>
    <w:rsid w:val="226D013D"/>
    <w:rsid w:val="22711E7F"/>
    <w:rsid w:val="227F4672"/>
    <w:rsid w:val="227F4D36"/>
    <w:rsid w:val="229B20DF"/>
    <w:rsid w:val="22A6336D"/>
    <w:rsid w:val="22D060E4"/>
    <w:rsid w:val="22EF0CB2"/>
    <w:rsid w:val="22EF1A78"/>
    <w:rsid w:val="23061058"/>
    <w:rsid w:val="230E6747"/>
    <w:rsid w:val="23134A2D"/>
    <w:rsid w:val="2327473A"/>
    <w:rsid w:val="232C305D"/>
    <w:rsid w:val="232D7428"/>
    <w:rsid w:val="233B6AEB"/>
    <w:rsid w:val="2341464B"/>
    <w:rsid w:val="234402A6"/>
    <w:rsid w:val="2346717A"/>
    <w:rsid w:val="234D2FD0"/>
    <w:rsid w:val="23612E31"/>
    <w:rsid w:val="236B2559"/>
    <w:rsid w:val="236D2C9D"/>
    <w:rsid w:val="23710682"/>
    <w:rsid w:val="2372245C"/>
    <w:rsid w:val="23756876"/>
    <w:rsid w:val="238118BF"/>
    <w:rsid w:val="23891F57"/>
    <w:rsid w:val="239350BF"/>
    <w:rsid w:val="23960E81"/>
    <w:rsid w:val="23980920"/>
    <w:rsid w:val="23A44B45"/>
    <w:rsid w:val="23A92C46"/>
    <w:rsid w:val="23C05295"/>
    <w:rsid w:val="23CE38FD"/>
    <w:rsid w:val="23CF32AD"/>
    <w:rsid w:val="23D224DF"/>
    <w:rsid w:val="23D91BE6"/>
    <w:rsid w:val="23EE665D"/>
    <w:rsid w:val="23F72BC0"/>
    <w:rsid w:val="24054024"/>
    <w:rsid w:val="24091AB2"/>
    <w:rsid w:val="241B7E01"/>
    <w:rsid w:val="242458A4"/>
    <w:rsid w:val="242E4F6D"/>
    <w:rsid w:val="24414DE4"/>
    <w:rsid w:val="24517377"/>
    <w:rsid w:val="2457410E"/>
    <w:rsid w:val="245B7C86"/>
    <w:rsid w:val="245E5E32"/>
    <w:rsid w:val="24777DF3"/>
    <w:rsid w:val="24847883"/>
    <w:rsid w:val="249043DD"/>
    <w:rsid w:val="24A51870"/>
    <w:rsid w:val="24AB54E2"/>
    <w:rsid w:val="24C452E5"/>
    <w:rsid w:val="24C84B01"/>
    <w:rsid w:val="24C9797B"/>
    <w:rsid w:val="24D90DFC"/>
    <w:rsid w:val="24E453B8"/>
    <w:rsid w:val="24F61E72"/>
    <w:rsid w:val="24FA0C5C"/>
    <w:rsid w:val="24FA3230"/>
    <w:rsid w:val="2501552E"/>
    <w:rsid w:val="25114559"/>
    <w:rsid w:val="251E49B7"/>
    <w:rsid w:val="25290886"/>
    <w:rsid w:val="25332FA7"/>
    <w:rsid w:val="253753B9"/>
    <w:rsid w:val="253A2C9B"/>
    <w:rsid w:val="25414779"/>
    <w:rsid w:val="254636EF"/>
    <w:rsid w:val="25470C0F"/>
    <w:rsid w:val="254961D1"/>
    <w:rsid w:val="255D6D2E"/>
    <w:rsid w:val="255F19AC"/>
    <w:rsid w:val="25664D94"/>
    <w:rsid w:val="25696E13"/>
    <w:rsid w:val="256F70BC"/>
    <w:rsid w:val="25930AB5"/>
    <w:rsid w:val="259C4FA8"/>
    <w:rsid w:val="25AE0027"/>
    <w:rsid w:val="25B14144"/>
    <w:rsid w:val="25BA1F37"/>
    <w:rsid w:val="25C36387"/>
    <w:rsid w:val="25C80604"/>
    <w:rsid w:val="25CB4114"/>
    <w:rsid w:val="25D747B1"/>
    <w:rsid w:val="25DB0EF7"/>
    <w:rsid w:val="25DC0DEC"/>
    <w:rsid w:val="25E011EB"/>
    <w:rsid w:val="25E82AE5"/>
    <w:rsid w:val="25F62AA2"/>
    <w:rsid w:val="260F2A81"/>
    <w:rsid w:val="26273FAE"/>
    <w:rsid w:val="26300CB4"/>
    <w:rsid w:val="263675F0"/>
    <w:rsid w:val="263A03D9"/>
    <w:rsid w:val="26416248"/>
    <w:rsid w:val="264230C0"/>
    <w:rsid w:val="264E2125"/>
    <w:rsid w:val="26514638"/>
    <w:rsid w:val="2657379F"/>
    <w:rsid w:val="265C6D9A"/>
    <w:rsid w:val="26670521"/>
    <w:rsid w:val="26720E4B"/>
    <w:rsid w:val="267C1FE6"/>
    <w:rsid w:val="269D7D78"/>
    <w:rsid w:val="26A16EC1"/>
    <w:rsid w:val="26AF2033"/>
    <w:rsid w:val="26B31B9A"/>
    <w:rsid w:val="26B4797A"/>
    <w:rsid w:val="26B57392"/>
    <w:rsid w:val="26B841B1"/>
    <w:rsid w:val="26E41A5D"/>
    <w:rsid w:val="26F77994"/>
    <w:rsid w:val="26FC1279"/>
    <w:rsid w:val="270547E6"/>
    <w:rsid w:val="27151B96"/>
    <w:rsid w:val="27160939"/>
    <w:rsid w:val="271B578E"/>
    <w:rsid w:val="27293FBE"/>
    <w:rsid w:val="272E4BB4"/>
    <w:rsid w:val="27354CE4"/>
    <w:rsid w:val="273D1050"/>
    <w:rsid w:val="27422ECA"/>
    <w:rsid w:val="27431C3B"/>
    <w:rsid w:val="2754193C"/>
    <w:rsid w:val="2763714F"/>
    <w:rsid w:val="276E48B6"/>
    <w:rsid w:val="277746F3"/>
    <w:rsid w:val="277D2593"/>
    <w:rsid w:val="27807086"/>
    <w:rsid w:val="278248B5"/>
    <w:rsid w:val="27842E5F"/>
    <w:rsid w:val="279575D6"/>
    <w:rsid w:val="27996D24"/>
    <w:rsid w:val="27A667D8"/>
    <w:rsid w:val="27AB2A25"/>
    <w:rsid w:val="27C269CB"/>
    <w:rsid w:val="27CA63AB"/>
    <w:rsid w:val="27CD694A"/>
    <w:rsid w:val="27CD6E04"/>
    <w:rsid w:val="27DA471A"/>
    <w:rsid w:val="27E075AF"/>
    <w:rsid w:val="27E9323F"/>
    <w:rsid w:val="27EF0D71"/>
    <w:rsid w:val="27FA2975"/>
    <w:rsid w:val="27FF3AE6"/>
    <w:rsid w:val="280C61B4"/>
    <w:rsid w:val="28137D80"/>
    <w:rsid w:val="28162577"/>
    <w:rsid w:val="28287997"/>
    <w:rsid w:val="282E1558"/>
    <w:rsid w:val="28306A54"/>
    <w:rsid w:val="28532506"/>
    <w:rsid w:val="28560B47"/>
    <w:rsid w:val="28743687"/>
    <w:rsid w:val="287B765A"/>
    <w:rsid w:val="2881095C"/>
    <w:rsid w:val="289E576E"/>
    <w:rsid w:val="28A10091"/>
    <w:rsid w:val="28C86F37"/>
    <w:rsid w:val="28D225E7"/>
    <w:rsid w:val="28D65D4A"/>
    <w:rsid w:val="28DA15AF"/>
    <w:rsid w:val="28E72400"/>
    <w:rsid w:val="28FB2479"/>
    <w:rsid w:val="29035772"/>
    <w:rsid w:val="2904155F"/>
    <w:rsid w:val="290C5344"/>
    <w:rsid w:val="29273901"/>
    <w:rsid w:val="293442B6"/>
    <w:rsid w:val="29482844"/>
    <w:rsid w:val="295A2087"/>
    <w:rsid w:val="295B5152"/>
    <w:rsid w:val="296F63CA"/>
    <w:rsid w:val="2985148D"/>
    <w:rsid w:val="298B0DD7"/>
    <w:rsid w:val="299A420A"/>
    <w:rsid w:val="29A7157B"/>
    <w:rsid w:val="29B11809"/>
    <w:rsid w:val="29C523A8"/>
    <w:rsid w:val="29CD2984"/>
    <w:rsid w:val="29D94FC7"/>
    <w:rsid w:val="29DC169B"/>
    <w:rsid w:val="29E61469"/>
    <w:rsid w:val="29F0565C"/>
    <w:rsid w:val="29FE00CD"/>
    <w:rsid w:val="29FF036D"/>
    <w:rsid w:val="2A023A68"/>
    <w:rsid w:val="2A065779"/>
    <w:rsid w:val="2A0D68E0"/>
    <w:rsid w:val="2A1635F2"/>
    <w:rsid w:val="2A1C2699"/>
    <w:rsid w:val="2A2B37C7"/>
    <w:rsid w:val="2A316808"/>
    <w:rsid w:val="2A537D9A"/>
    <w:rsid w:val="2A564000"/>
    <w:rsid w:val="2A604C1E"/>
    <w:rsid w:val="2A681678"/>
    <w:rsid w:val="2A844DD4"/>
    <w:rsid w:val="2A8B576B"/>
    <w:rsid w:val="2A8E2D68"/>
    <w:rsid w:val="2AA702AC"/>
    <w:rsid w:val="2AAD2A1A"/>
    <w:rsid w:val="2AB85135"/>
    <w:rsid w:val="2AB93B63"/>
    <w:rsid w:val="2ACA05F3"/>
    <w:rsid w:val="2ADE4343"/>
    <w:rsid w:val="2AE237F9"/>
    <w:rsid w:val="2AE2591E"/>
    <w:rsid w:val="2AED5B62"/>
    <w:rsid w:val="2AF4559E"/>
    <w:rsid w:val="2AFE7150"/>
    <w:rsid w:val="2B0345FB"/>
    <w:rsid w:val="2B207F6E"/>
    <w:rsid w:val="2B2B6155"/>
    <w:rsid w:val="2B3C38EC"/>
    <w:rsid w:val="2B4D4A32"/>
    <w:rsid w:val="2B5D615F"/>
    <w:rsid w:val="2B6A1E80"/>
    <w:rsid w:val="2B6E4708"/>
    <w:rsid w:val="2B747708"/>
    <w:rsid w:val="2B800728"/>
    <w:rsid w:val="2B9A373F"/>
    <w:rsid w:val="2BA45D17"/>
    <w:rsid w:val="2BA94D08"/>
    <w:rsid w:val="2BC7506C"/>
    <w:rsid w:val="2BCA5537"/>
    <w:rsid w:val="2BE06FA5"/>
    <w:rsid w:val="2BE84C9C"/>
    <w:rsid w:val="2BF72A76"/>
    <w:rsid w:val="2BF916D2"/>
    <w:rsid w:val="2C0A14F9"/>
    <w:rsid w:val="2C0D042C"/>
    <w:rsid w:val="2C1A6E5F"/>
    <w:rsid w:val="2C266660"/>
    <w:rsid w:val="2C2A2678"/>
    <w:rsid w:val="2C324F13"/>
    <w:rsid w:val="2C4146BD"/>
    <w:rsid w:val="2C5E1B4B"/>
    <w:rsid w:val="2C686FE6"/>
    <w:rsid w:val="2C9E2F5E"/>
    <w:rsid w:val="2CB31E6F"/>
    <w:rsid w:val="2CB636BD"/>
    <w:rsid w:val="2CC6358E"/>
    <w:rsid w:val="2CCC698B"/>
    <w:rsid w:val="2CCE23EC"/>
    <w:rsid w:val="2CDD76A9"/>
    <w:rsid w:val="2CEB77C6"/>
    <w:rsid w:val="2CF82424"/>
    <w:rsid w:val="2CFE2CF4"/>
    <w:rsid w:val="2D101C12"/>
    <w:rsid w:val="2D1C44F8"/>
    <w:rsid w:val="2D311133"/>
    <w:rsid w:val="2D453A57"/>
    <w:rsid w:val="2D4A6565"/>
    <w:rsid w:val="2D5006CE"/>
    <w:rsid w:val="2D612F9E"/>
    <w:rsid w:val="2D84402B"/>
    <w:rsid w:val="2D917917"/>
    <w:rsid w:val="2DAC7415"/>
    <w:rsid w:val="2DB12F00"/>
    <w:rsid w:val="2DD01141"/>
    <w:rsid w:val="2DD25CCB"/>
    <w:rsid w:val="2DE978C7"/>
    <w:rsid w:val="2DEA255A"/>
    <w:rsid w:val="2DEB4C91"/>
    <w:rsid w:val="2DF33AF2"/>
    <w:rsid w:val="2DFF4CFA"/>
    <w:rsid w:val="2E0133FE"/>
    <w:rsid w:val="2E151341"/>
    <w:rsid w:val="2E1E06AB"/>
    <w:rsid w:val="2E304CC0"/>
    <w:rsid w:val="2E381AD1"/>
    <w:rsid w:val="2E3844D1"/>
    <w:rsid w:val="2E393818"/>
    <w:rsid w:val="2E445433"/>
    <w:rsid w:val="2E55148C"/>
    <w:rsid w:val="2E5B0394"/>
    <w:rsid w:val="2E5F4CA5"/>
    <w:rsid w:val="2E655918"/>
    <w:rsid w:val="2E754938"/>
    <w:rsid w:val="2E763022"/>
    <w:rsid w:val="2E831C60"/>
    <w:rsid w:val="2E857BDC"/>
    <w:rsid w:val="2E8A4604"/>
    <w:rsid w:val="2E8C4766"/>
    <w:rsid w:val="2EA353BD"/>
    <w:rsid w:val="2EAC10FB"/>
    <w:rsid w:val="2EAE7740"/>
    <w:rsid w:val="2EB2130D"/>
    <w:rsid w:val="2EB5696D"/>
    <w:rsid w:val="2EBB5B75"/>
    <w:rsid w:val="2EC11F4F"/>
    <w:rsid w:val="2EC73F77"/>
    <w:rsid w:val="2ECD3158"/>
    <w:rsid w:val="2ED03C68"/>
    <w:rsid w:val="2EDC4868"/>
    <w:rsid w:val="2EE45409"/>
    <w:rsid w:val="2EEC0082"/>
    <w:rsid w:val="2EF61DBE"/>
    <w:rsid w:val="2F126A73"/>
    <w:rsid w:val="2F156431"/>
    <w:rsid w:val="2F181C7E"/>
    <w:rsid w:val="2F4602D3"/>
    <w:rsid w:val="2F4A277D"/>
    <w:rsid w:val="2F4A46E9"/>
    <w:rsid w:val="2F4B73F1"/>
    <w:rsid w:val="2F50336E"/>
    <w:rsid w:val="2F521F21"/>
    <w:rsid w:val="2F5321AB"/>
    <w:rsid w:val="2F5B11F5"/>
    <w:rsid w:val="2F817B51"/>
    <w:rsid w:val="2F8B32A0"/>
    <w:rsid w:val="2FAB0990"/>
    <w:rsid w:val="2FBF367F"/>
    <w:rsid w:val="2FD26051"/>
    <w:rsid w:val="300C18A8"/>
    <w:rsid w:val="300F27D8"/>
    <w:rsid w:val="3017746C"/>
    <w:rsid w:val="301B1325"/>
    <w:rsid w:val="301B4CF6"/>
    <w:rsid w:val="301D24FA"/>
    <w:rsid w:val="30256E3F"/>
    <w:rsid w:val="302841D6"/>
    <w:rsid w:val="30292E85"/>
    <w:rsid w:val="302A06C7"/>
    <w:rsid w:val="30362963"/>
    <w:rsid w:val="304B4971"/>
    <w:rsid w:val="30520FC4"/>
    <w:rsid w:val="305B2986"/>
    <w:rsid w:val="305E3B01"/>
    <w:rsid w:val="3070799F"/>
    <w:rsid w:val="30710641"/>
    <w:rsid w:val="307B065A"/>
    <w:rsid w:val="308B6243"/>
    <w:rsid w:val="308F10C1"/>
    <w:rsid w:val="30980B55"/>
    <w:rsid w:val="30B16DF8"/>
    <w:rsid w:val="30BF2013"/>
    <w:rsid w:val="30BF4E67"/>
    <w:rsid w:val="30C3257A"/>
    <w:rsid w:val="30C9549B"/>
    <w:rsid w:val="30D039CC"/>
    <w:rsid w:val="30E84A92"/>
    <w:rsid w:val="30EB6EBF"/>
    <w:rsid w:val="30F739EB"/>
    <w:rsid w:val="30FF2B17"/>
    <w:rsid w:val="31000077"/>
    <w:rsid w:val="310A2EE4"/>
    <w:rsid w:val="311077EE"/>
    <w:rsid w:val="311957EC"/>
    <w:rsid w:val="313823C3"/>
    <w:rsid w:val="313E3E0A"/>
    <w:rsid w:val="31424A0E"/>
    <w:rsid w:val="31474093"/>
    <w:rsid w:val="31494D48"/>
    <w:rsid w:val="314D12E7"/>
    <w:rsid w:val="31577DAE"/>
    <w:rsid w:val="31593915"/>
    <w:rsid w:val="31610DA1"/>
    <w:rsid w:val="31692C68"/>
    <w:rsid w:val="3186050C"/>
    <w:rsid w:val="3187330F"/>
    <w:rsid w:val="318C2A8A"/>
    <w:rsid w:val="319308DB"/>
    <w:rsid w:val="31A139F0"/>
    <w:rsid w:val="31A149C5"/>
    <w:rsid w:val="31A34738"/>
    <w:rsid w:val="31AD5CE4"/>
    <w:rsid w:val="31B71852"/>
    <w:rsid w:val="31C451E8"/>
    <w:rsid w:val="31C70633"/>
    <w:rsid w:val="31CF1A9E"/>
    <w:rsid w:val="31E46DB6"/>
    <w:rsid w:val="31E85255"/>
    <w:rsid w:val="31EE0C5B"/>
    <w:rsid w:val="31F37B1C"/>
    <w:rsid w:val="32072786"/>
    <w:rsid w:val="320E6CF6"/>
    <w:rsid w:val="323D5285"/>
    <w:rsid w:val="323D67F9"/>
    <w:rsid w:val="323F59AD"/>
    <w:rsid w:val="324F564D"/>
    <w:rsid w:val="325775DD"/>
    <w:rsid w:val="3258194B"/>
    <w:rsid w:val="327634A0"/>
    <w:rsid w:val="32824AF4"/>
    <w:rsid w:val="32915C25"/>
    <w:rsid w:val="329279D1"/>
    <w:rsid w:val="3295039F"/>
    <w:rsid w:val="32A37C4C"/>
    <w:rsid w:val="32A7038B"/>
    <w:rsid w:val="32A848D9"/>
    <w:rsid w:val="32BD332D"/>
    <w:rsid w:val="32CA3F4B"/>
    <w:rsid w:val="32F11374"/>
    <w:rsid w:val="32FB78DA"/>
    <w:rsid w:val="330D04C5"/>
    <w:rsid w:val="330F0C82"/>
    <w:rsid w:val="332751AA"/>
    <w:rsid w:val="334A1FE6"/>
    <w:rsid w:val="33810DC8"/>
    <w:rsid w:val="338C5077"/>
    <w:rsid w:val="33966234"/>
    <w:rsid w:val="33B27CF3"/>
    <w:rsid w:val="33BF30F0"/>
    <w:rsid w:val="33CF622E"/>
    <w:rsid w:val="33DF5C1B"/>
    <w:rsid w:val="33E4244E"/>
    <w:rsid w:val="33EC6BC6"/>
    <w:rsid w:val="33F63D7A"/>
    <w:rsid w:val="34054362"/>
    <w:rsid w:val="34086A59"/>
    <w:rsid w:val="341969BC"/>
    <w:rsid w:val="34477671"/>
    <w:rsid w:val="3449658B"/>
    <w:rsid w:val="345067DD"/>
    <w:rsid w:val="34554D46"/>
    <w:rsid w:val="34642720"/>
    <w:rsid w:val="34666EA3"/>
    <w:rsid w:val="34700B8F"/>
    <w:rsid w:val="3471199C"/>
    <w:rsid w:val="347501DA"/>
    <w:rsid w:val="347A0AD0"/>
    <w:rsid w:val="348F4A38"/>
    <w:rsid w:val="34971508"/>
    <w:rsid w:val="34A76556"/>
    <w:rsid w:val="34B075DB"/>
    <w:rsid w:val="34CC5A05"/>
    <w:rsid w:val="34CC608D"/>
    <w:rsid w:val="34D45800"/>
    <w:rsid w:val="34E45775"/>
    <w:rsid w:val="34F3356F"/>
    <w:rsid w:val="34F4750F"/>
    <w:rsid w:val="34F96737"/>
    <w:rsid w:val="350364BB"/>
    <w:rsid w:val="350A0E15"/>
    <w:rsid w:val="350B4D71"/>
    <w:rsid w:val="35197DDC"/>
    <w:rsid w:val="351C0E12"/>
    <w:rsid w:val="35223A79"/>
    <w:rsid w:val="352A0116"/>
    <w:rsid w:val="353D755D"/>
    <w:rsid w:val="354E10AF"/>
    <w:rsid w:val="355364BE"/>
    <w:rsid w:val="3554088B"/>
    <w:rsid w:val="355A704E"/>
    <w:rsid w:val="35647120"/>
    <w:rsid w:val="356C444C"/>
    <w:rsid w:val="356D22CC"/>
    <w:rsid w:val="3587562B"/>
    <w:rsid w:val="35911275"/>
    <w:rsid w:val="359204B6"/>
    <w:rsid w:val="35B80F44"/>
    <w:rsid w:val="35BC7667"/>
    <w:rsid w:val="35BF4BFA"/>
    <w:rsid w:val="35C07A92"/>
    <w:rsid w:val="35C16A58"/>
    <w:rsid w:val="35D60026"/>
    <w:rsid w:val="35D970A0"/>
    <w:rsid w:val="35DF1F80"/>
    <w:rsid w:val="35E03266"/>
    <w:rsid w:val="35ED1DA3"/>
    <w:rsid w:val="35F57242"/>
    <w:rsid w:val="3609636F"/>
    <w:rsid w:val="36100AC6"/>
    <w:rsid w:val="361449F7"/>
    <w:rsid w:val="36191A75"/>
    <w:rsid w:val="361A3C0A"/>
    <w:rsid w:val="36246A1A"/>
    <w:rsid w:val="362A29AD"/>
    <w:rsid w:val="362A529C"/>
    <w:rsid w:val="362E2FF7"/>
    <w:rsid w:val="363A1021"/>
    <w:rsid w:val="364524A3"/>
    <w:rsid w:val="365F20A8"/>
    <w:rsid w:val="3677203A"/>
    <w:rsid w:val="36805DE1"/>
    <w:rsid w:val="368603C1"/>
    <w:rsid w:val="369317CD"/>
    <w:rsid w:val="36960542"/>
    <w:rsid w:val="36966417"/>
    <w:rsid w:val="369C3305"/>
    <w:rsid w:val="36A431A7"/>
    <w:rsid w:val="36A46566"/>
    <w:rsid w:val="36A93106"/>
    <w:rsid w:val="36BB4E2F"/>
    <w:rsid w:val="36C202A4"/>
    <w:rsid w:val="36C37F35"/>
    <w:rsid w:val="36C43BE4"/>
    <w:rsid w:val="36C73607"/>
    <w:rsid w:val="36D12E82"/>
    <w:rsid w:val="36D137CD"/>
    <w:rsid w:val="36E310B3"/>
    <w:rsid w:val="36E97A73"/>
    <w:rsid w:val="36F229AD"/>
    <w:rsid w:val="36F80431"/>
    <w:rsid w:val="36FA57F1"/>
    <w:rsid w:val="37045205"/>
    <w:rsid w:val="370F2E10"/>
    <w:rsid w:val="371053A5"/>
    <w:rsid w:val="37106A83"/>
    <w:rsid w:val="371D1E88"/>
    <w:rsid w:val="372E3150"/>
    <w:rsid w:val="3737285D"/>
    <w:rsid w:val="373B24C7"/>
    <w:rsid w:val="37421535"/>
    <w:rsid w:val="375C1107"/>
    <w:rsid w:val="37632D71"/>
    <w:rsid w:val="376578D6"/>
    <w:rsid w:val="378E050F"/>
    <w:rsid w:val="379527C3"/>
    <w:rsid w:val="37A6191B"/>
    <w:rsid w:val="37A7325C"/>
    <w:rsid w:val="37D0588E"/>
    <w:rsid w:val="37D16F71"/>
    <w:rsid w:val="37EE11A1"/>
    <w:rsid w:val="37F27393"/>
    <w:rsid w:val="37F563CA"/>
    <w:rsid w:val="37F63A3F"/>
    <w:rsid w:val="37FB57D9"/>
    <w:rsid w:val="380072F1"/>
    <w:rsid w:val="38082360"/>
    <w:rsid w:val="3834750B"/>
    <w:rsid w:val="38351A1F"/>
    <w:rsid w:val="383B7C51"/>
    <w:rsid w:val="383E689A"/>
    <w:rsid w:val="383F0735"/>
    <w:rsid w:val="384168A1"/>
    <w:rsid w:val="385A6D31"/>
    <w:rsid w:val="385A7990"/>
    <w:rsid w:val="38637F7C"/>
    <w:rsid w:val="386B1498"/>
    <w:rsid w:val="386D0656"/>
    <w:rsid w:val="386E63BD"/>
    <w:rsid w:val="38962B4F"/>
    <w:rsid w:val="389A11B9"/>
    <w:rsid w:val="389C68F4"/>
    <w:rsid w:val="38A60649"/>
    <w:rsid w:val="38CF3B3E"/>
    <w:rsid w:val="38D918E5"/>
    <w:rsid w:val="38E362A9"/>
    <w:rsid w:val="38F24D37"/>
    <w:rsid w:val="38F91C2B"/>
    <w:rsid w:val="390B179A"/>
    <w:rsid w:val="39160B95"/>
    <w:rsid w:val="391A1B9F"/>
    <w:rsid w:val="391E27D1"/>
    <w:rsid w:val="391E4B97"/>
    <w:rsid w:val="392158C6"/>
    <w:rsid w:val="39323ED5"/>
    <w:rsid w:val="393A035D"/>
    <w:rsid w:val="393E79E0"/>
    <w:rsid w:val="394D0D95"/>
    <w:rsid w:val="3950436C"/>
    <w:rsid w:val="39590185"/>
    <w:rsid w:val="39630FCA"/>
    <w:rsid w:val="39755A7B"/>
    <w:rsid w:val="398D750B"/>
    <w:rsid w:val="399667F8"/>
    <w:rsid w:val="39A60F8F"/>
    <w:rsid w:val="39A930EA"/>
    <w:rsid w:val="39A94B13"/>
    <w:rsid w:val="39AD709A"/>
    <w:rsid w:val="39BC0456"/>
    <w:rsid w:val="39C81A74"/>
    <w:rsid w:val="39E96C25"/>
    <w:rsid w:val="39EA595C"/>
    <w:rsid w:val="39EC072D"/>
    <w:rsid w:val="39F277C5"/>
    <w:rsid w:val="3A171719"/>
    <w:rsid w:val="3A2511AB"/>
    <w:rsid w:val="3A304388"/>
    <w:rsid w:val="3A3046B1"/>
    <w:rsid w:val="3A3A0BCE"/>
    <w:rsid w:val="3A3F4C6F"/>
    <w:rsid w:val="3A565B5A"/>
    <w:rsid w:val="3A5E319F"/>
    <w:rsid w:val="3A772C10"/>
    <w:rsid w:val="3A773392"/>
    <w:rsid w:val="3A7E7FFF"/>
    <w:rsid w:val="3A85074A"/>
    <w:rsid w:val="3AA4304A"/>
    <w:rsid w:val="3AAE31E1"/>
    <w:rsid w:val="3AB80019"/>
    <w:rsid w:val="3AC13F33"/>
    <w:rsid w:val="3AC41449"/>
    <w:rsid w:val="3AD53D1B"/>
    <w:rsid w:val="3ADB00DA"/>
    <w:rsid w:val="3AEF15C3"/>
    <w:rsid w:val="3AF67951"/>
    <w:rsid w:val="3AFB0FB0"/>
    <w:rsid w:val="3B0B0D5C"/>
    <w:rsid w:val="3B3D5135"/>
    <w:rsid w:val="3B5B214E"/>
    <w:rsid w:val="3B5C1ABC"/>
    <w:rsid w:val="3B6972E8"/>
    <w:rsid w:val="3B786DFC"/>
    <w:rsid w:val="3B7F7062"/>
    <w:rsid w:val="3B8713E1"/>
    <w:rsid w:val="3B8760F9"/>
    <w:rsid w:val="3B995E32"/>
    <w:rsid w:val="3B9B0169"/>
    <w:rsid w:val="3BAD0C35"/>
    <w:rsid w:val="3BAD57FC"/>
    <w:rsid w:val="3BB2539E"/>
    <w:rsid w:val="3BCE1BFE"/>
    <w:rsid w:val="3BD00655"/>
    <w:rsid w:val="3BD27353"/>
    <w:rsid w:val="3BF578D5"/>
    <w:rsid w:val="3BFA407E"/>
    <w:rsid w:val="3BFC208A"/>
    <w:rsid w:val="3BFD5FC7"/>
    <w:rsid w:val="3C10041E"/>
    <w:rsid w:val="3C15723C"/>
    <w:rsid w:val="3C3B69DC"/>
    <w:rsid w:val="3C3F332A"/>
    <w:rsid w:val="3C446F2E"/>
    <w:rsid w:val="3C563770"/>
    <w:rsid w:val="3C5D40D9"/>
    <w:rsid w:val="3C630D25"/>
    <w:rsid w:val="3C656812"/>
    <w:rsid w:val="3C742F52"/>
    <w:rsid w:val="3C7D5B9F"/>
    <w:rsid w:val="3CAB5880"/>
    <w:rsid w:val="3CB14D44"/>
    <w:rsid w:val="3CC30FAF"/>
    <w:rsid w:val="3CC43831"/>
    <w:rsid w:val="3CC67F3B"/>
    <w:rsid w:val="3CD429F1"/>
    <w:rsid w:val="3CD74BC1"/>
    <w:rsid w:val="3CDB47E8"/>
    <w:rsid w:val="3CEB4E99"/>
    <w:rsid w:val="3CEC6214"/>
    <w:rsid w:val="3CF25AF7"/>
    <w:rsid w:val="3CF4022F"/>
    <w:rsid w:val="3D097326"/>
    <w:rsid w:val="3D1171DC"/>
    <w:rsid w:val="3D1C2E1B"/>
    <w:rsid w:val="3D26069C"/>
    <w:rsid w:val="3D2D4347"/>
    <w:rsid w:val="3D335830"/>
    <w:rsid w:val="3D350FB8"/>
    <w:rsid w:val="3D360D5E"/>
    <w:rsid w:val="3D3D3D80"/>
    <w:rsid w:val="3D567BB9"/>
    <w:rsid w:val="3D5D7621"/>
    <w:rsid w:val="3D601A8E"/>
    <w:rsid w:val="3D786A50"/>
    <w:rsid w:val="3D8278ED"/>
    <w:rsid w:val="3D91271E"/>
    <w:rsid w:val="3D942E91"/>
    <w:rsid w:val="3D9527E7"/>
    <w:rsid w:val="3D987C96"/>
    <w:rsid w:val="3D9952BC"/>
    <w:rsid w:val="3DA7199B"/>
    <w:rsid w:val="3DC84882"/>
    <w:rsid w:val="3DD17D69"/>
    <w:rsid w:val="3DE74C30"/>
    <w:rsid w:val="3DEA4197"/>
    <w:rsid w:val="3E0F49F1"/>
    <w:rsid w:val="3E101F39"/>
    <w:rsid w:val="3E23422B"/>
    <w:rsid w:val="3E2349E5"/>
    <w:rsid w:val="3E284047"/>
    <w:rsid w:val="3E5F1A5F"/>
    <w:rsid w:val="3E65711D"/>
    <w:rsid w:val="3E8640EB"/>
    <w:rsid w:val="3E933F56"/>
    <w:rsid w:val="3EA45C07"/>
    <w:rsid w:val="3EA52B18"/>
    <w:rsid w:val="3EBE3B9F"/>
    <w:rsid w:val="3EC10D4C"/>
    <w:rsid w:val="3EC27F50"/>
    <w:rsid w:val="3EC34067"/>
    <w:rsid w:val="3EDC2138"/>
    <w:rsid w:val="3EEC1B95"/>
    <w:rsid w:val="3EED2D3A"/>
    <w:rsid w:val="3EF92D40"/>
    <w:rsid w:val="3F0A4BFF"/>
    <w:rsid w:val="3F0E1B3F"/>
    <w:rsid w:val="3F1D6EFD"/>
    <w:rsid w:val="3F1E1B6E"/>
    <w:rsid w:val="3F2D6B02"/>
    <w:rsid w:val="3F350D9A"/>
    <w:rsid w:val="3F405413"/>
    <w:rsid w:val="3F4F3B43"/>
    <w:rsid w:val="3F5A0448"/>
    <w:rsid w:val="3F655D4D"/>
    <w:rsid w:val="3F693C39"/>
    <w:rsid w:val="3F864B86"/>
    <w:rsid w:val="3F8B3E4C"/>
    <w:rsid w:val="3F8E32BE"/>
    <w:rsid w:val="3F9D3E1A"/>
    <w:rsid w:val="3FA20748"/>
    <w:rsid w:val="3FA23C42"/>
    <w:rsid w:val="3FC011B9"/>
    <w:rsid w:val="3FC11602"/>
    <w:rsid w:val="3FC4553B"/>
    <w:rsid w:val="3FC614EC"/>
    <w:rsid w:val="3FCB13DC"/>
    <w:rsid w:val="3FD42AD5"/>
    <w:rsid w:val="3FD75712"/>
    <w:rsid w:val="3FDF77E5"/>
    <w:rsid w:val="3FED13C3"/>
    <w:rsid w:val="3FF619ED"/>
    <w:rsid w:val="3FF652B4"/>
    <w:rsid w:val="3FFB58BF"/>
    <w:rsid w:val="40004DE6"/>
    <w:rsid w:val="40464B2B"/>
    <w:rsid w:val="404B06C7"/>
    <w:rsid w:val="40572F9B"/>
    <w:rsid w:val="406C1B43"/>
    <w:rsid w:val="40705D1E"/>
    <w:rsid w:val="408758C7"/>
    <w:rsid w:val="409964D5"/>
    <w:rsid w:val="409A7830"/>
    <w:rsid w:val="40B951D8"/>
    <w:rsid w:val="40BB7D44"/>
    <w:rsid w:val="40CE500D"/>
    <w:rsid w:val="40D836BF"/>
    <w:rsid w:val="40FA466F"/>
    <w:rsid w:val="41015A0F"/>
    <w:rsid w:val="412A6A9B"/>
    <w:rsid w:val="412C2A45"/>
    <w:rsid w:val="413A5FA0"/>
    <w:rsid w:val="413F1449"/>
    <w:rsid w:val="41534931"/>
    <w:rsid w:val="415A7457"/>
    <w:rsid w:val="4166382E"/>
    <w:rsid w:val="416956C1"/>
    <w:rsid w:val="41704598"/>
    <w:rsid w:val="417B0A08"/>
    <w:rsid w:val="417D18C0"/>
    <w:rsid w:val="41807296"/>
    <w:rsid w:val="418568F9"/>
    <w:rsid w:val="418B7B0A"/>
    <w:rsid w:val="418D038B"/>
    <w:rsid w:val="419040E9"/>
    <w:rsid w:val="419E22C8"/>
    <w:rsid w:val="419F7FFF"/>
    <w:rsid w:val="41AB50B6"/>
    <w:rsid w:val="41AE7777"/>
    <w:rsid w:val="41CA342F"/>
    <w:rsid w:val="41DC7498"/>
    <w:rsid w:val="41EE6C78"/>
    <w:rsid w:val="41F87050"/>
    <w:rsid w:val="421776D6"/>
    <w:rsid w:val="421A1EB5"/>
    <w:rsid w:val="42214E5D"/>
    <w:rsid w:val="42257DCD"/>
    <w:rsid w:val="423839F3"/>
    <w:rsid w:val="42512B04"/>
    <w:rsid w:val="42522153"/>
    <w:rsid w:val="426106D0"/>
    <w:rsid w:val="42617EC7"/>
    <w:rsid w:val="42691AED"/>
    <w:rsid w:val="426E67ED"/>
    <w:rsid w:val="42732B26"/>
    <w:rsid w:val="42791A6F"/>
    <w:rsid w:val="427C3B39"/>
    <w:rsid w:val="428356E3"/>
    <w:rsid w:val="4287406F"/>
    <w:rsid w:val="42890113"/>
    <w:rsid w:val="428E5556"/>
    <w:rsid w:val="429B1C31"/>
    <w:rsid w:val="42A2687A"/>
    <w:rsid w:val="42A35576"/>
    <w:rsid w:val="42B64818"/>
    <w:rsid w:val="42C430EF"/>
    <w:rsid w:val="42C93E22"/>
    <w:rsid w:val="42F25F9F"/>
    <w:rsid w:val="42F81DEB"/>
    <w:rsid w:val="42FF4424"/>
    <w:rsid w:val="43005FD9"/>
    <w:rsid w:val="430302FB"/>
    <w:rsid w:val="43073B70"/>
    <w:rsid w:val="43097B75"/>
    <w:rsid w:val="43105754"/>
    <w:rsid w:val="4312547F"/>
    <w:rsid w:val="43182F26"/>
    <w:rsid w:val="431A10DB"/>
    <w:rsid w:val="431C09D6"/>
    <w:rsid w:val="431F4B36"/>
    <w:rsid w:val="4322387C"/>
    <w:rsid w:val="43244F12"/>
    <w:rsid w:val="432C4996"/>
    <w:rsid w:val="43324C9E"/>
    <w:rsid w:val="433930F9"/>
    <w:rsid w:val="4339404A"/>
    <w:rsid w:val="433B550A"/>
    <w:rsid w:val="43414C7C"/>
    <w:rsid w:val="434E25EB"/>
    <w:rsid w:val="43572350"/>
    <w:rsid w:val="4370249A"/>
    <w:rsid w:val="438F366B"/>
    <w:rsid w:val="439D5A2D"/>
    <w:rsid w:val="43A64918"/>
    <w:rsid w:val="43A95D07"/>
    <w:rsid w:val="43B264C6"/>
    <w:rsid w:val="43BE2882"/>
    <w:rsid w:val="43C477CD"/>
    <w:rsid w:val="43D6693D"/>
    <w:rsid w:val="43E32679"/>
    <w:rsid w:val="43E44F04"/>
    <w:rsid w:val="43F34C77"/>
    <w:rsid w:val="44147A93"/>
    <w:rsid w:val="44205D33"/>
    <w:rsid w:val="44237ED6"/>
    <w:rsid w:val="44326C2C"/>
    <w:rsid w:val="445021E7"/>
    <w:rsid w:val="445050D2"/>
    <w:rsid w:val="4459336D"/>
    <w:rsid w:val="445A7145"/>
    <w:rsid w:val="44600537"/>
    <w:rsid w:val="44644010"/>
    <w:rsid w:val="44670581"/>
    <w:rsid w:val="446D2735"/>
    <w:rsid w:val="44754E3F"/>
    <w:rsid w:val="447A612A"/>
    <w:rsid w:val="4485081B"/>
    <w:rsid w:val="448E52A9"/>
    <w:rsid w:val="44993477"/>
    <w:rsid w:val="44B35DC3"/>
    <w:rsid w:val="44B50E39"/>
    <w:rsid w:val="44BC3256"/>
    <w:rsid w:val="44C4523D"/>
    <w:rsid w:val="44DB7CD4"/>
    <w:rsid w:val="44DE731A"/>
    <w:rsid w:val="44EE4DB9"/>
    <w:rsid w:val="44F055C9"/>
    <w:rsid w:val="44F473A5"/>
    <w:rsid w:val="44F81AB0"/>
    <w:rsid w:val="44FC05B7"/>
    <w:rsid w:val="45063781"/>
    <w:rsid w:val="45115C7D"/>
    <w:rsid w:val="451F55F6"/>
    <w:rsid w:val="452164DA"/>
    <w:rsid w:val="454A103E"/>
    <w:rsid w:val="454C649A"/>
    <w:rsid w:val="4555043F"/>
    <w:rsid w:val="4557682D"/>
    <w:rsid w:val="455834B3"/>
    <w:rsid w:val="455B2173"/>
    <w:rsid w:val="45750187"/>
    <w:rsid w:val="45922380"/>
    <w:rsid w:val="459F5DE9"/>
    <w:rsid w:val="459F618D"/>
    <w:rsid w:val="45A6579D"/>
    <w:rsid w:val="45C60A76"/>
    <w:rsid w:val="45CD6658"/>
    <w:rsid w:val="45D518AD"/>
    <w:rsid w:val="45D907B0"/>
    <w:rsid w:val="45E97367"/>
    <w:rsid w:val="45FD628E"/>
    <w:rsid w:val="461546E5"/>
    <w:rsid w:val="461B6FB9"/>
    <w:rsid w:val="46224C2F"/>
    <w:rsid w:val="46240D2F"/>
    <w:rsid w:val="46246A71"/>
    <w:rsid w:val="46453FD7"/>
    <w:rsid w:val="464630A4"/>
    <w:rsid w:val="46514F31"/>
    <w:rsid w:val="467E09F8"/>
    <w:rsid w:val="467E0B8A"/>
    <w:rsid w:val="46B21C76"/>
    <w:rsid w:val="46B764F5"/>
    <w:rsid w:val="46BC74F6"/>
    <w:rsid w:val="46C11156"/>
    <w:rsid w:val="46C14716"/>
    <w:rsid w:val="46CD1987"/>
    <w:rsid w:val="46CE5B9F"/>
    <w:rsid w:val="46EA14FA"/>
    <w:rsid w:val="46ED4F79"/>
    <w:rsid w:val="46EE2792"/>
    <w:rsid w:val="46F20091"/>
    <w:rsid w:val="47060F51"/>
    <w:rsid w:val="47070532"/>
    <w:rsid w:val="470B5748"/>
    <w:rsid w:val="470F469A"/>
    <w:rsid w:val="471606B9"/>
    <w:rsid w:val="471773E3"/>
    <w:rsid w:val="471819C8"/>
    <w:rsid w:val="471F1F93"/>
    <w:rsid w:val="47297BEE"/>
    <w:rsid w:val="472D7470"/>
    <w:rsid w:val="4735473E"/>
    <w:rsid w:val="47364094"/>
    <w:rsid w:val="47411A53"/>
    <w:rsid w:val="47476282"/>
    <w:rsid w:val="475124F9"/>
    <w:rsid w:val="475E2886"/>
    <w:rsid w:val="47646398"/>
    <w:rsid w:val="47683E8B"/>
    <w:rsid w:val="476A58DF"/>
    <w:rsid w:val="476C1C7B"/>
    <w:rsid w:val="477E757D"/>
    <w:rsid w:val="478853AA"/>
    <w:rsid w:val="47912C51"/>
    <w:rsid w:val="479A0746"/>
    <w:rsid w:val="479C34F1"/>
    <w:rsid w:val="47B90D9F"/>
    <w:rsid w:val="47BF7D43"/>
    <w:rsid w:val="47C46749"/>
    <w:rsid w:val="47C77976"/>
    <w:rsid w:val="47CE5620"/>
    <w:rsid w:val="47F7400A"/>
    <w:rsid w:val="480B0449"/>
    <w:rsid w:val="480B2598"/>
    <w:rsid w:val="48104718"/>
    <w:rsid w:val="48246C4E"/>
    <w:rsid w:val="483530F5"/>
    <w:rsid w:val="484A5C59"/>
    <w:rsid w:val="484B7ACC"/>
    <w:rsid w:val="484C1E6F"/>
    <w:rsid w:val="4864580F"/>
    <w:rsid w:val="486D41B9"/>
    <w:rsid w:val="487C273C"/>
    <w:rsid w:val="48836610"/>
    <w:rsid w:val="48A77D11"/>
    <w:rsid w:val="48A92D9D"/>
    <w:rsid w:val="48AC2A9C"/>
    <w:rsid w:val="48C07892"/>
    <w:rsid w:val="48C10052"/>
    <w:rsid w:val="48C4711F"/>
    <w:rsid w:val="48C7651D"/>
    <w:rsid w:val="48DD6FEE"/>
    <w:rsid w:val="48EA1749"/>
    <w:rsid w:val="48F168ED"/>
    <w:rsid w:val="48F718CD"/>
    <w:rsid w:val="49160155"/>
    <w:rsid w:val="49222217"/>
    <w:rsid w:val="492C5766"/>
    <w:rsid w:val="493A43B2"/>
    <w:rsid w:val="494E212D"/>
    <w:rsid w:val="4953683C"/>
    <w:rsid w:val="498C1A0A"/>
    <w:rsid w:val="499823B2"/>
    <w:rsid w:val="499932BE"/>
    <w:rsid w:val="499C248C"/>
    <w:rsid w:val="49A76E9E"/>
    <w:rsid w:val="49AF3014"/>
    <w:rsid w:val="49BA2B53"/>
    <w:rsid w:val="49D0242A"/>
    <w:rsid w:val="49DD3120"/>
    <w:rsid w:val="49DF1B73"/>
    <w:rsid w:val="49E750CA"/>
    <w:rsid w:val="49FF151C"/>
    <w:rsid w:val="4A074858"/>
    <w:rsid w:val="4A085D4A"/>
    <w:rsid w:val="4A08733C"/>
    <w:rsid w:val="4A09697A"/>
    <w:rsid w:val="4A131B33"/>
    <w:rsid w:val="4A16632C"/>
    <w:rsid w:val="4A17291D"/>
    <w:rsid w:val="4A204FC8"/>
    <w:rsid w:val="4A221703"/>
    <w:rsid w:val="4A25364E"/>
    <w:rsid w:val="4A4D0894"/>
    <w:rsid w:val="4A521756"/>
    <w:rsid w:val="4A5A2B72"/>
    <w:rsid w:val="4A946456"/>
    <w:rsid w:val="4A9C5949"/>
    <w:rsid w:val="4A9E0807"/>
    <w:rsid w:val="4AA91124"/>
    <w:rsid w:val="4AB312AE"/>
    <w:rsid w:val="4AB7761B"/>
    <w:rsid w:val="4ABA3FE1"/>
    <w:rsid w:val="4ABD1CC4"/>
    <w:rsid w:val="4AC73167"/>
    <w:rsid w:val="4AD23401"/>
    <w:rsid w:val="4AD742EA"/>
    <w:rsid w:val="4AE97E3C"/>
    <w:rsid w:val="4AEB6B60"/>
    <w:rsid w:val="4AF146F8"/>
    <w:rsid w:val="4AFC6385"/>
    <w:rsid w:val="4B091D9C"/>
    <w:rsid w:val="4B1528B6"/>
    <w:rsid w:val="4B1A387B"/>
    <w:rsid w:val="4B1C620C"/>
    <w:rsid w:val="4B233B2C"/>
    <w:rsid w:val="4B2F21F7"/>
    <w:rsid w:val="4B3E6D01"/>
    <w:rsid w:val="4B4464E9"/>
    <w:rsid w:val="4B46404B"/>
    <w:rsid w:val="4B8663B1"/>
    <w:rsid w:val="4B8C02F4"/>
    <w:rsid w:val="4B9134D2"/>
    <w:rsid w:val="4BA62602"/>
    <w:rsid w:val="4BA66027"/>
    <w:rsid w:val="4BB62114"/>
    <w:rsid w:val="4BD57D35"/>
    <w:rsid w:val="4BF14D6B"/>
    <w:rsid w:val="4C0939BD"/>
    <w:rsid w:val="4C096458"/>
    <w:rsid w:val="4C152E95"/>
    <w:rsid w:val="4C1A60AC"/>
    <w:rsid w:val="4C1B7234"/>
    <w:rsid w:val="4C200212"/>
    <w:rsid w:val="4C30278B"/>
    <w:rsid w:val="4C4E338F"/>
    <w:rsid w:val="4C5217FA"/>
    <w:rsid w:val="4C6F1D6F"/>
    <w:rsid w:val="4C75032D"/>
    <w:rsid w:val="4C7E54BB"/>
    <w:rsid w:val="4C80365B"/>
    <w:rsid w:val="4C87183D"/>
    <w:rsid w:val="4C875F65"/>
    <w:rsid w:val="4C97029B"/>
    <w:rsid w:val="4CAA07CD"/>
    <w:rsid w:val="4CBC5845"/>
    <w:rsid w:val="4CD2214C"/>
    <w:rsid w:val="4CD47BD0"/>
    <w:rsid w:val="4CD61D1C"/>
    <w:rsid w:val="4CE270E9"/>
    <w:rsid w:val="4CF673A5"/>
    <w:rsid w:val="4CF8209D"/>
    <w:rsid w:val="4CF853C4"/>
    <w:rsid w:val="4D141F9E"/>
    <w:rsid w:val="4D1C4530"/>
    <w:rsid w:val="4D1F1761"/>
    <w:rsid w:val="4D252B66"/>
    <w:rsid w:val="4D415DB5"/>
    <w:rsid w:val="4D4B69DE"/>
    <w:rsid w:val="4D51380D"/>
    <w:rsid w:val="4D5A0B71"/>
    <w:rsid w:val="4D5D04BF"/>
    <w:rsid w:val="4D6B6151"/>
    <w:rsid w:val="4D6E2F4E"/>
    <w:rsid w:val="4D79111E"/>
    <w:rsid w:val="4DC91378"/>
    <w:rsid w:val="4DCA15F4"/>
    <w:rsid w:val="4DDE15B7"/>
    <w:rsid w:val="4DFB1D6D"/>
    <w:rsid w:val="4DFD10EF"/>
    <w:rsid w:val="4E2548E3"/>
    <w:rsid w:val="4E270BBF"/>
    <w:rsid w:val="4E29156D"/>
    <w:rsid w:val="4E2C05D5"/>
    <w:rsid w:val="4E351D34"/>
    <w:rsid w:val="4E3D60D1"/>
    <w:rsid w:val="4E401902"/>
    <w:rsid w:val="4E44435D"/>
    <w:rsid w:val="4E45226D"/>
    <w:rsid w:val="4E5249BD"/>
    <w:rsid w:val="4E5665ED"/>
    <w:rsid w:val="4E604D48"/>
    <w:rsid w:val="4E724E31"/>
    <w:rsid w:val="4E754426"/>
    <w:rsid w:val="4E7E0B80"/>
    <w:rsid w:val="4E8014FC"/>
    <w:rsid w:val="4E804A6C"/>
    <w:rsid w:val="4E8152DE"/>
    <w:rsid w:val="4E946EFE"/>
    <w:rsid w:val="4E956876"/>
    <w:rsid w:val="4EAA6069"/>
    <w:rsid w:val="4EB46B16"/>
    <w:rsid w:val="4EBE6BD2"/>
    <w:rsid w:val="4EC22B74"/>
    <w:rsid w:val="4ED23CBC"/>
    <w:rsid w:val="4EFC0A46"/>
    <w:rsid w:val="4F0D3774"/>
    <w:rsid w:val="4F1412DB"/>
    <w:rsid w:val="4F161150"/>
    <w:rsid w:val="4F1877CA"/>
    <w:rsid w:val="4F1A03D8"/>
    <w:rsid w:val="4F1A3129"/>
    <w:rsid w:val="4F1C1AD4"/>
    <w:rsid w:val="4F226B09"/>
    <w:rsid w:val="4F227121"/>
    <w:rsid w:val="4F2D1BFD"/>
    <w:rsid w:val="4F521455"/>
    <w:rsid w:val="4F5350B2"/>
    <w:rsid w:val="4F5467AA"/>
    <w:rsid w:val="4F582B20"/>
    <w:rsid w:val="4F6C2F2F"/>
    <w:rsid w:val="4F757409"/>
    <w:rsid w:val="4F78259D"/>
    <w:rsid w:val="4F812689"/>
    <w:rsid w:val="4F87455E"/>
    <w:rsid w:val="4F990284"/>
    <w:rsid w:val="4FA36059"/>
    <w:rsid w:val="4FC753FE"/>
    <w:rsid w:val="4FC95D41"/>
    <w:rsid w:val="4FCD18E2"/>
    <w:rsid w:val="4FD56B33"/>
    <w:rsid w:val="4FD9314B"/>
    <w:rsid w:val="4FDC3F40"/>
    <w:rsid w:val="4FE0190B"/>
    <w:rsid w:val="4FE721EF"/>
    <w:rsid w:val="50131AFC"/>
    <w:rsid w:val="50185E7E"/>
    <w:rsid w:val="502878FD"/>
    <w:rsid w:val="502D1483"/>
    <w:rsid w:val="5030233F"/>
    <w:rsid w:val="503A5AE3"/>
    <w:rsid w:val="504B40A1"/>
    <w:rsid w:val="504C50EC"/>
    <w:rsid w:val="504D542C"/>
    <w:rsid w:val="505C071C"/>
    <w:rsid w:val="505F5681"/>
    <w:rsid w:val="506605C8"/>
    <w:rsid w:val="50972560"/>
    <w:rsid w:val="50A20529"/>
    <w:rsid w:val="50B9123C"/>
    <w:rsid w:val="50C2167A"/>
    <w:rsid w:val="50C41A18"/>
    <w:rsid w:val="50D6311B"/>
    <w:rsid w:val="50E83CA8"/>
    <w:rsid w:val="50EE066A"/>
    <w:rsid w:val="50FB7070"/>
    <w:rsid w:val="51116D0D"/>
    <w:rsid w:val="5114375A"/>
    <w:rsid w:val="511F190F"/>
    <w:rsid w:val="51293E6D"/>
    <w:rsid w:val="512D72BE"/>
    <w:rsid w:val="513401B7"/>
    <w:rsid w:val="514778B9"/>
    <w:rsid w:val="5159639B"/>
    <w:rsid w:val="515E38A8"/>
    <w:rsid w:val="515E3A76"/>
    <w:rsid w:val="51655873"/>
    <w:rsid w:val="517B76BC"/>
    <w:rsid w:val="51961962"/>
    <w:rsid w:val="51AA47DA"/>
    <w:rsid w:val="51AC2E8C"/>
    <w:rsid w:val="51B42B15"/>
    <w:rsid w:val="51B46DC2"/>
    <w:rsid w:val="51C71F8F"/>
    <w:rsid w:val="51C80059"/>
    <w:rsid w:val="51D5513E"/>
    <w:rsid w:val="51ED371D"/>
    <w:rsid w:val="51F2103E"/>
    <w:rsid w:val="51F2292C"/>
    <w:rsid w:val="51FF7252"/>
    <w:rsid w:val="5202212C"/>
    <w:rsid w:val="5204214D"/>
    <w:rsid w:val="52062B39"/>
    <w:rsid w:val="522A38F0"/>
    <w:rsid w:val="5234309E"/>
    <w:rsid w:val="523F7142"/>
    <w:rsid w:val="524477AD"/>
    <w:rsid w:val="52474118"/>
    <w:rsid w:val="52485AE6"/>
    <w:rsid w:val="5258647E"/>
    <w:rsid w:val="52596D46"/>
    <w:rsid w:val="526C671A"/>
    <w:rsid w:val="526D06C2"/>
    <w:rsid w:val="52711EC1"/>
    <w:rsid w:val="52876485"/>
    <w:rsid w:val="528E7BD2"/>
    <w:rsid w:val="529621D1"/>
    <w:rsid w:val="529846C1"/>
    <w:rsid w:val="52A938AF"/>
    <w:rsid w:val="52AD4641"/>
    <w:rsid w:val="52BA30B2"/>
    <w:rsid w:val="52C01154"/>
    <w:rsid w:val="52C5295F"/>
    <w:rsid w:val="52C97720"/>
    <w:rsid w:val="52D46DB1"/>
    <w:rsid w:val="52D54555"/>
    <w:rsid w:val="52D81888"/>
    <w:rsid w:val="52E25373"/>
    <w:rsid w:val="52E751D4"/>
    <w:rsid w:val="52EE4293"/>
    <w:rsid w:val="530468B4"/>
    <w:rsid w:val="53061CE2"/>
    <w:rsid w:val="5315554A"/>
    <w:rsid w:val="5322591F"/>
    <w:rsid w:val="53256D61"/>
    <w:rsid w:val="53334415"/>
    <w:rsid w:val="5336041E"/>
    <w:rsid w:val="534D0495"/>
    <w:rsid w:val="53530BC1"/>
    <w:rsid w:val="535A0C05"/>
    <w:rsid w:val="53692EBE"/>
    <w:rsid w:val="536F5969"/>
    <w:rsid w:val="537331C3"/>
    <w:rsid w:val="538D2E3C"/>
    <w:rsid w:val="53947E72"/>
    <w:rsid w:val="53951E48"/>
    <w:rsid w:val="53997366"/>
    <w:rsid w:val="539E4B69"/>
    <w:rsid w:val="53C22543"/>
    <w:rsid w:val="53CC5D58"/>
    <w:rsid w:val="53D00D9B"/>
    <w:rsid w:val="53D31937"/>
    <w:rsid w:val="53D67C28"/>
    <w:rsid w:val="53DC5C25"/>
    <w:rsid w:val="53E26036"/>
    <w:rsid w:val="53FE72EE"/>
    <w:rsid w:val="54084DE3"/>
    <w:rsid w:val="541A5CEA"/>
    <w:rsid w:val="541F0535"/>
    <w:rsid w:val="541F0C6F"/>
    <w:rsid w:val="542B3768"/>
    <w:rsid w:val="542C6255"/>
    <w:rsid w:val="542F6A04"/>
    <w:rsid w:val="543C1CB5"/>
    <w:rsid w:val="54515B99"/>
    <w:rsid w:val="545E58E8"/>
    <w:rsid w:val="54766916"/>
    <w:rsid w:val="547D5E17"/>
    <w:rsid w:val="54834817"/>
    <w:rsid w:val="54A12E5C"/>
    <w:rsid w:val="54A83E6A"/>
    <w:rsid w:val="54AA5664"/>
    <w:rsid w:val="54AE57E8"/>
    <w:rsid w:val="54C60643"/>
    <w:rsid w:val="54D43C89"/>
    <w:rsid w:val="54EE47F0"/>
    <w:rsid w:val="54F443F9"/>
    <w:rsid w:val="55074553"/>
    <w:rsid w:val="551768EA"/>
    <w:rsid w:val="551F6E81"/>
    <w:rsid w:val="55217233"/>
    <w:rsid w:val="552A516F"/>
    <w:rsid w:val="552F41B1"/>
    <w:rsid w:val="553075EA"/>
    <w:rsid w:val="5542741F"/>
    <w:rsid w:val="55630D94"/>
    <w:rsid w:val="557C23DB"/>
    <w:rsid w:val="558D12DE"/>
    <w:rsid w:val="558F6CFE"/>
    <w:rsid w:val="559B2E10"/>
    <w:rsid w:val="559E3636"/>
    <w:rsid w:val="559F6F57"/>
    <w:rsid w:val="55AD5A96"/>
    <w:rsid w:val="55B31D11"/>
    <w:rsid w:val="55BA2C36"/>
    <w:rsid w:val="55BD5C72"/>
    <w:rsid w:val="55CA0784"/>
    <w:rsid w:val="55CB109E"/>
    <w:rsid w:val="55DF5F75"/>
    <w:rsid w:val="55EC07F5"/>
    <w:rsid w:val="55F5138D"/>
    <w:rsid w:val="56036695"/>
    <w:rsid w:val="56071EAD"/>
    <w:rsid w:val="561B51E4"/>
    <w:rsid w:val="562F70B9"/>
    <w:rsid w:val="563B11F8"/>
    <w:rsid w:val="563C1030"/>
    <w:rsid w:val="56422960"/>
    <w:rsid w:val="56453443"/>
    <w:rsid w:val="564A2212"/>
    <w:rsid w:val="564F2EBA"/>
    <w:rsid w:val="565866B9"/>
    <w:rsid w:val="565F447E"/>
    <w:rsid w:val="56647A61"/>
    <w:rsid w:val="56705E14"/>
    <w:rsid w:val="568E5C9F"/>
    <w:rsid w:val="569658B4"/>
    <w:rsid w:val="56AC2851"/>
    <w:rsid w:val="56AF4030"/>
    <w:rsid w:val="56B7039F"/>
    <w:rsid w:val="56BD5E6D"/>
    <w:rsid w:val="56C234DF"/>
    <w:rsid w:val="56C5432B"/>
    <w:rsid w:val="56C65098"/>
    <w:rsid w:val="56D52C93"/>
    <w:rsid w:val="56DA3734"/>
    <w:rsid w:val="56DF57EC"/>
    <w:rsid w:val="571058DD"/>
    <w:rsid w:val="571C65C9"/>
    <w:rsid w:val="571F5B5A"/>
    <w:rsid w:val="57224F8C"/>
    <w:rsid w:val="572815BA"/>
    <w:rsid w:val="572A2E6B"/>
    <w:rsid w:val="572B31F4"/>
    <w:rsid w:val="57303225"/>
    <w:rsid w:val="573B31CB"/>
    <w:rsid w:val="574524DB"/>
    <w:rsid w:val="57691E0C"/>
    <w:rsid w:val="577401F6"/>
    <w:rsid w:val="57813DF0"/>
    <w:rsid w:val="579256E8"/>
    <w:rsid w:val="57940984"/>
    <w:rsid w:val="57C1468C"/>
    <w:rsid w:val="57E00E5D"/>
    <w:rsid w:val="57E1665C"/>
    <w:rsid w:val="57ED2DCC"/>
    <w:rsid w:val="57F22B8C"/>
    <w:rsid w:val="57F475F0"/>
    <w:rsid w:val="57FB7F2C"/>
    <w:rsid w:val="580832B2"/>
    <w:rsid w:val="5825771C"/>
    <w:rsid w:val="58313850"/>
    <w:rsid w:val="583226A7"/>
    <w:rsid w:val="58475EFB"/>
    <w:rsid w:val="585F7CDE"/>
    <w:rsid w:val="586E21E8"/>
    <w:rsid w:val="586E4AAF"/>
    <w:rsid w:val="58862F12"/>
    <w:rsid w:val="58864DC1"/>
    <w:rsid w:val="588A5AB0"/>
    <w:rsid w:val="588D5381"/>
    <w:rsid w:val="588F551A"/>
    <w:rsid w:val="58AA7C48"/>
    <w:rsid w:val="58B05341"/>
    <w:rsid w:val="58C1057C"/>
    <w:rsid w:val="58CA1EA3"/>
    <w:rsid w:val="58DA4A8A"/>
    <w:rsid w:val="58E855CC"/>
    <w:rsid w:val="590C39EF"/>
    <w:rsid w:val="59133278"/>
    <w:rsid w:val="59156F40"/>
    <w:rsid w:val="591E1677"/>
    <w:rsid w:val="591F0A27"/>
    <w:rsid w:val="59240002"/>
    <w:rsid w:val="59343448"/>
    <w:rsid w:val="593A48D8"/>
    <w:rsid w:val="593D3535"/>
    <w:rsid w:val="59437788"/>
    <w:rsid w:val="5945431F"/>
    <w:rsid w:val="59540A66"/>
    <w:rsid w:val="59626CE0"/>
    <w:rsid w:val="596C7163"/>
    <w:rsid w:val="596E6C4E"/>
    <w:rsid w:val="5972419C"/>
    <w:rsid w:val="59770C93"/>
    <w:rsid w:val="597946A3"/>
    <w:rsid w:val="59802D3D"/>
    <w:rsid w:val="59BA4B8E"/>
    <w:rsid w:val="59BF634D"/>
    <w:rsid w:val="59BF7033"/>
    <w:rsid w:val="59C278FC"/>
    <w:rsid w:val="59CE295F"/>
    <w:rsid w:val="59DF2E55"/>
    <w:rsid w:val="59EC2DF7"/>
    <w:rsid w:val="5A037718"/>
    <w:rsid w:val="5A156337"/>
    <w:rsid w:val="5A246CCF"/>
    <w:rsid w:val="5A333542"/>
    <w:rsid w:val="5A362920"/>
    <w:rsid w:val="5A3C3839"/>
    <w:rsid w:val="5A405799"/>
    <w:rsid w:val="5A4B2AB3"/>
    <w:rsid w:val="5A531455"/>
    <w:rsid w:val="5A6C5E24"/>
    <w:rsid w:val="5A930D03"/>
    <w:rsid w:val="5A967C1F"/>
    <w:rsid w:val="5A9765C9"/>
    <w:rsid w:val="5AB021D3"/>
    <w:rsid w:val="5ABC4163"/>
    <w:rsid w:val="5ACD1BC7"/>
    <w:rsid w:val="5AD51BD0"/>
    <w:rsid w:val="5AD779BF"/>
    <w:rsid w:val="5AE5632B"/>
    <w:rsid w:val="5B0068FE"/>
    <w:rsid w:val="5B0D6ED3"/>
    <w:rsid w:val="5B122D67"/>
    <w:rsid w:val="5B157ABE"/>
    <w:rsid w:val="5B1C6887"/>
    <w:rsid w:val="5B2063BD"/>
    <w:rsid w:val="5B217C8E"/>
    <w:rsid w:val="5B22015C"/>
    <w:rsid w:val="5B310D69"/>
    <w:rsid w:val="5B345ACB"/>
    <w:rsid w:val="5B3D3D26"/>
    <w:rsid w:val="5B4179A6"/>
    <w:rsid w:val="5B43701C"/>
    <w:rsid w:val="5B4B4F65"/>
    <w:rsid w:val="5B590224"/>
    <w:rsid w:val="5B62239A"/>
    <w:rsid w:val="5BAD24B9"/>
    <w:rsid w:val="5BB43545"/>
    <w:rsid w:val="5BC43DCB"/>
    <w:rsid w:val="5BEA230F"/>
    <w:rsid w:val="5BFB00EF"/>
    <w:rsid w:val="5C08285D"/>
    <w:rsid w:val="5C204F86"/>
    <w:rsid w:val="5C252CF2"/>
    <w:rsid w:val="5C261918"/>
    <w:rsid w:val="5C341A7F"/>
    <w:rsid w:val="5C4908AC"/>
    <w:rsid w:val="5C540DC2"/>
    <w:rsid w:val="5C7B68E3"/>
    <w:rsid w:val="5C95475A"/>
    <w:rsid w:val="5CAE7E3A"/>
    <w:rsid w:val="5CC569DD"/>
    <w:rsid w:val="5CD11443"/>
    <w:rsid w:val="5CD509BF"/>
    <w:rsid w:val="5CD527B5"/>
    <w:rsid w:val="5CD9261F"/>
    <w:rsid w:val="5CDE2769"/>
    <w:rsid w:val="5CDF0049"/>
    <w:rsid w:val="5CE644D1"/>
    <w:rsid w:val="5CF14A80"/>
    <w:rsid w:val="5CFB4A8B"/>
    <w:rsid w:val="5CFC4DA4"/>
    <w:rsid w:val="5D003C43"/>
    <w:rsid w:val="5D1C5176"/>
    <w:rsid w:val="5D3075CB"/>
    <w:rsid w:val="5D317DBB"/>
    <w:rsid w:val="5D3B28F1"/>
    <w:rsid w:val="5D5314BF"/>
    <w:rsid w:val="5D5B468C"/>
    <w:rsid w:val="5D5D60BB"/>
    <w:rsid w:val="5D6566C7"/>
    <w:rsid w:val="5D715B19"/>
    <w:rsid w:val="5D7375E4"/>
    <w:rsid w:val="5D850102"/>
    <w:rsid w:val="5D8E62F9"/>
    <w:rsid w:val="5D905D21"/>
    <w:rsid w:val="5DA06A86"/>
    <w:rsid w:val="5DA51C01"/>
    <w:rsid w:val="5DAB45A8"/>
    <w:rsid w:val="5DB1129C"/>
    <w:rsid w:val="5DBB4B59"/>
    <w:rsid w:val="5DD37132"/>
    <w:rsid w:val="5DFD6514"/>
    <w:rsid w:val="5E0405C2"/>
    <w:rsid w:val="5E05060B"/>
    <w:rsid w:val="5E0C109C"/>
    <w:rsid w:val="5E21460A"/>
    <w:rsid w:val="5E2D49EB"/>
    <w:rsid w:val="5E3762FC"/>
    <w:rsid w:val="5E3E4FCD"/>
    <w:rsid w:val="5E5513EE"/>
    <w:rsid w:val="5E954988"/>
    <w:rsid w:val="5E9D44AB"/>
    <w:rsid w:val="5EC467BF"/>
    <w:rsid w:val="5EC6439C"/>
    <w:rsid w:val="5ECA06C9"/>
    <w:rsid w:val="5ECB5834"/>
    <w:rsid w:val="5ED71DD2"/>
    <w:rsid w:val="5EDB4108"/>
    <w:rsid w:val="5EE0188F"/>
    <w:rsid w:val="5EFE2186"/>
    <w:rsid w:val="5F043004"/>
    <w:rsid w:val="5F0E115B"/>
    <w:rsid w:val="5F245458"/>
    <w:rsid w:val="5F2B77F8"/>
    <w:rsid w:val="5F4E2489"/>
    <w:rsid w:val="5F5A393A"/>
    <w:rsid w:val="5F7C1C9D"/>
    <w:rsid w:val="5F96141C"/>
    <w:rsid w:val="5F9B4482"/>
    <w:rsid w:val="5FA927EC"/>
    <w:rsid w:val="5FAA37F1"/>
    <w:rsid w:val="5FB70E9F"/>
    <w:rsid w:val="5FCE587A"/>
    <w:rsid w:val="5FD0635F"/>
    <w:rsid w:val="5FD1073A"/>
    <w:rsid w:val="5FDD6F10"/>
    <w:rsid w:val="5FE23EDF"/>
    <w:rsid w:val="5FE946CA"/>
    <w:rsid w:val="600B551D"/>
    <w:rsid w:val="60173367"/>
    <w:rsid w:val="603462BD"/>
    <w:rsid w:val="603D3043"/>
    <w:rsid w:val="6058341E"/>
    <w:rsid w:val="607B34E8"/>
    <w:rsid w:val="608F51FD"/>
    <w:rsid w:val="60931327"/>
    <w:rsid w:val="60B87BF5"/>
    <w:rsid w:val="60BF3E25"/>
    <w:rsid w:val="60CD577A"/>
    <w:rsid w:val="60D542A9"/>
    <w:rsid w:val="60D8001D"/>
    <w:rsid w:val="60DD40B6"/>
    <w:rsid w:val="60E54540"/>
    <w:rsid w:val="61021073"/>
    <w:rsid w:val="610B778E"/>
    <w:rsid w:val="611943E2"/>
    <w:rsid w:val="611D611B"/>
    <w:rsid w:val="611E249E"/>
    <w:rsid w:val="612D3F7A"/>
    <w:rsid w:val="61322C7F"/>
    <w:rsid w:val="61370DAE"/>
    <w:rsid w:val="613A1D8E"/>
    <w:rsid w:val="613E38A1"/>
    <w:rsid w:val="61423DAA"/>
    <w:rsid w:val="61475D20"/>
    <w:rsid w:val="616639CE"/>
    <w:rsid w:val="6168711C"/>
    <w:rsid w:val="61707560"/>
    <w:rsid w:val="6174444F"/>
    <w:rsid w:val="617606D2"/>
    <w:rsid w:val="61824910"/>
    <w:rsid w:val="61861C7B"/>
    <w:rsid w:val="618A0632"/>
    <w:rsid w:val="61923556"/>
    <w:rsid w:val="61964BBA"/>
    <w:rsid w:val="61BE151C"/>
    <w:rsid w:val="61C267EB"/>
    <w:rsid w:val="61D6604E"/>
    <w:rsid w:val="61DF5747"/>
    <w:rsid w:val="61E179C0"/>
    <w:rsid w:val="61E31697"/>
    <w:rsid w:val="61EB6F38"/>
    <w:rsid w:val="61ED559F"/>
    <w:rsid w:val="61F22960"/>
    <w:rsid w:val="620927BB"/>
    <w:rsid w:val="6211180C"/>
    <w:rsid w:val="62197E62"/>
    <w:rsid w:val="623B0B0D"/>
    <w:rsid w:val="628649FC"/>
    <w:rsid w:val="62887128"/>
    <w:rsid w:val="628A7E20"/>
    <w:rsid w:val="628C1CEE"/>
    <w:rsid w:val="62947294"/>
    <w:rsid w:val="62987A85"/>
    <w:rsid w:val="62B04E2C"/>
    <w:rsid w:val="62B86DCA"/>
    <w:rsid w:val="62BC5D4C"/>
    <w:rsid w:val="62D2359D"/>
    <w:rsid w:val="62DB4986"/>
    <w:rsid w:val="62E003B4"/>
    <w:rsid w:val="62E5655C"/>
    <w:rsid w:val="62FB2250"/>
    <w:rsid w:val="62FC15D1"/>
    <w:rsid w:val="62FC7371"/>
    <w:rsid w:val="62FD4584"/>
    <w:rsid w:val="630C4E92"/>
    <w:rsid w:val="631A02D5"/>
    <w:rsid w:val="631A4E8C"/>
    <w:rsid w:val="6336375D"/>
    <w:rsid w:val="6337128B"/>
    <w:rsid w:val="63475ADC"/>
    <w:rsid w:val="63532674"/>
    <w:rsid w:val="63583B00"/>
    <w:rsid w:val="63692B77"/>
    <w:rsid w:val="636E576D"/>
    <w:rsid w:val="63740B9C"/>
    <w:rsid w:val="63832028"/>
    <w:rsid w:val="6386247F"/>
    <w:rsid w:val="63AB14A3"/>
    <w:rsid w:val="63AD1FEC"/>
    <w:rsid w:val="63AD2509"/>
    <w:rsid w:val="63AF0DC9"/>
    <w:rsid w:val="63B40CC9"/>
    <w:rsid w:val="63C704B1"/>
    <w:rsid w:val="63C878D5"/>
    <w:rsid w:val="63DC182A"/>
    <w:rsid w:val="63E83651"/>
    <w:rsid w:val="63EB1164"/>
    <w:rsid w:val="63EE65DD"/>
    <w:rsid w:val="63F15B80"/>
    <w:rsid w:val="63FE0D8E"/>
    <w:rsid w:val="640065E9"/>
    <w:rsid w:val="6400709A"/>
    <w:rsid w:val="64241D77"/>
    <w:rsid w:val="64260851"/>
    <w:rsid w:val="642713CA"/>
    <w:rsid w:val="642E4E68"/>
    <w:rsid w:val="643117B3"/>
    <w:rsid w:val="64362218"/>
    <w:rsid w:val="643C740F"/>
    <w:rsid w:val="64447A72"/>
    <w:rsid w:val="6445660C"/>
    <w:rsid w:val="644970CE"/>
    <w:rsid w:val="645662BA"/>
    <w:rsid w:val="64614FFF"/>
    <w:rsid w:val="64700F14"/>
    <w:rsid w:val="647048C7"/>
    <w:rsid w:val="647E2F61"/>
    <w:rsid w:val="6480754E"/>
    <w:rsid w:val="6481297D"/>
    <w:rsid w:val="6483287F"/>
    <w:rsid w:val="64842BE4"/>
    <w:rsid w:val="64923FF1"/>
    <w:rsid w:val="649E1FAE"/>
    <w:rsid w:val="64C7248D"/>
    <w:rsid w:val="64C80EE8"/>
    <w:rsid w:val="64CE1EAF"/>
    <w:rsid w:val="64D06A95"/>
    <w:rsid w:val="64D412AD"/>
    <w:rsid w:val="64DA3FEF"/>
    <w:rsid w:val="64EA4FF5"/>
    <w:rsid w:val="64EB13F6"/>
    <w:rsid w:val="64F811D0"/>
    <w:rsid w:val="650B7CAC"/>
    <w:rsid w:val="652F2275"/>
    <w:rsid w:val="654976AF"/>
    <w:rsid w:val="654C5F99"/>
    <w:rsid w:val="654F01A2"/>
    <w:rsid w:val="65651414"/>
    <w:rsid w:val="656A4688"/>
    <w:rsid w:val="65801F08"/>
    <w:rsid w:val="658D360B"/>
    <w:rsid w:val="658F488F"/>
    <w:rsid w:val="6591466C"/>
    <w:rsid w:val="65923450"/>
    <w:rsid w:val="65932FF4"/>
    <w:rsid w:val="65BC10AE"/>
    <w:rsid w:val="65C95302"/>
    <w:rsid w:val="65DA7202"/>
    <w:rsid w:val="65DE716F"/>
    <w:rsid w:val="65E61C71"/>
    <w:rsid w:val="65E85162"/>
    <w:rsid w:val="65EB71F2"/>
    <w:rsid w:val="65EE1A6A"/>
    <w:rsid w:val="65FC1992"/>
    <w:rsid w:val="65FE3860"/>
    <w:rsid w:val="66162885"/>
    <w:rsid w:val="6618644F"/>
    <w:rsid w:val="662F24E1"/>
    <w:rsid w:val="66342074"/>
    <w:rsid w:val="66406464"/>
    <w:rsid w:val="665B19AE"/>
    <w:rsid w:val="666631CD"/>
    <w:rsid w:val="666E22F8"/>
    <w:rsid w:val="668B6131"/>
    <w:rsid w:val="66987E5F"/>
    <w:rsid w:val="66AA3B2B"/>
    <w:rsid w:val="66B328D1"/>
    <w:rsid w:val="66D746E5"/>
    <w:rsid w:val="66E3221B"/>
    <w:rsid w:val="66F772E6"/>
    <w:rsid w:val="67017D20"/>
    <w:rsid w:val="67297C78"/>
    <w:rsid w:val="672D67F2"/>
    <w:rsid w:val="673068B3"/>
    <w:rsid w:val="673424E3"/>
    <w:rsid w:val="673E0144"/>
    <w:rsid w:val="67447638"/>
    <w:rsid w:val="67575FA0"/>
    <w:rsid w:val="675D686A"/>
    <w:rsid w:val="675F2079"/>
    <w:rsid w:val="67780F4A"/>
    <w:rsid w:val="677957B2"/>
    <w:rsid w:val="67AD7D24"/>
    <w:rsid w:val="67BD4BB1"/>
    <w:rsid w:val="67C51A18"/>
    <w:rsid w:val="67CC63DD"/>
    <w:rsid w:val="67CF5EDA"/>
    <w:rsid w:val="67D621D3"/>
    <w:rsid w:val="67EB5383"/>
    <w:rsid w:val="67F57A64"/>
    <w:rsid w:val="67F61C36"/>
    <w:rsid w:val="68056183"/>
    <w:rsid w:val="680F52D7"/>
    <w:rsid w:val="683E50A4"/>
    <w:rsid w:val="684700F8"/>
    <w:rsid w:val="68502E02"/>
    <w:rsid w:val="685D0CF7"/>
    <w:rsid w:val="688C46DA"/>
    <w:rsid w:val="688F0625"/>
    <w:rsid w:val="68905401"/>
    <w:rsid w:val="68981523"/>
    <w:rsid w:val="689D2F69"/>
    <w:rsid w:val="689F0C6A"/>
    <w:rsid w:val="689F2448"/>
    <w:rsid w:val="68A147D7"/>
    <w:rsid w:val="68A170FB"/>
    <w:rsid w:val="68A60070"/>
    <w:rsid w:val="68C47095"/>
    <w:rsid w:val="68C47F22"/>
    <w:rsid w:val="68CC60A0"/>
    <w:rsid w:val="68F51926"/>
    <w:rsid w:val="68F9790C"/>
    <w:rsid w:val="69030392"/>
    <w:rsid w:val="6912095B"/>
    <w:rsid w:val="69170515"/>
    <w:rsid w:val="691D6303"/>
    <w:rsid w:val="69211004"/>
    <w:rsid w:val="692B762A"/>
    <w:rsid w:val="693039C3"/>
    <w:rsid w:val="693251FC"/>
    <w:rsid w:val="694D15C7"/>
    <w:rsid w:val="696C4A2C"/>
    <w:rsid w:val="696E51DA"/>
    <w:rsid w:val="69751E9D"/>
    <w:rsid w:val="697E1185"/>
    <w:rsid w:val="697F7E06"/>
    <w:rsid w:val="69874544"/>
    <w:rsid w:val="69913019"/>
    <w:rsid w:val="699416CF"/>
    <w:rsid w:val="699A582F"/>
    <w:rsid w:val="699C5038"/>
    <w:rsid w:val="69A20872"/>
    <w:rsid w:val="69B0016E"/>
    <w:rsid w:val="69BD42EA"/>
    <w:rsid w:val="69C51C63"/>
    <w:rsid w:val="69C67F2B"/>
    <w:rsid w:val="69D2457F"/>
    <w:rsid w:val="69D856A9"/>
    <w:rsid w:val="69EF0143"/>
    <w:rsid w:val="69F20709"/>
    <w:rsid w:val="6A11097F"/>
    <w:rsid w:val="6A1C5B2D"/>
    <w:rsid w:val="6A2F502A"/>
    <w:rsid w:val="6A32513D"/>
    <w:rsid w:val="6A335258"/>
    <w:rsid w:val="6A3B7B32"/>
    <w:rsid w:val="6A645025"/>
    <w:rsid w:val="6A650735"/>
    <w:rsid w:val="6A6C6EB1"/>
    <w:rsid w:val="6A715DD9"/>
    <w:rsid w:val="6A733F37"/>
    <w:rsid w:val="6A760FFD"/>
    <w:rsid w:val="6A773E5C"/>
    <w:rsid w:val="6A8010AE"/>
    <w:rsid w:val="6A8C251A"/>
    <w:rsid w:val="6A96598F"/>
    <w:rsid w:val="6A9E3662"/>
    <w:rsid w:val="6A9F20EC"/>
    <w:rsid w:val="6AA12499"/>
    <w:rsid w:val="6AAE1CA9"/>
    <w:rsid w:val="6AB1772E"/>
    <w:rsid w:val="6AB33145"/>
    <w:rsid w:val="6ABD2FD0"/>
    <w:rsid w:val="6ACC6A41"/>
    <w:rsid w:val="6AE97A8B"/>
    <w:rsid w:val="6AF344A7"/>
    <w:rsid w:val="6B096264"/>
    <w:rsid w:val="6B125C42"/>
    <w:rsid w:val="6B1E3E21"/>
    <w:rsid w:val="6B237FFE"/>
    <w:rsid w:val="6B4A4140"/>
    <w:rsid w:val="6B4A7688"/>
    <w:rsid w:val="6B5B6612"/>
    <w:rsid w:val="6B5D0DEE"/>
    <w:rsid w:val="6B653CA2"/>
    <w:rsid w:val="6B736933"/>
    <w:rsid w:val="6B876871"/>
    <w:rsid w:val="6B8A7F5C"/>
    <w:rsid w:val="6B946FF1"/>
    <w:rsid w:val="6B99247A"/>
    <w:rsid w:val="6B9E6435"/>
    <w:rsid w:val="6BA04488"/>
    <w:rsid w:val="6BA35DFC"/>
    <w:rsid w:val="6BBC60C6"/>
    <w:rsid w:val="6BD27101"/>
    <w:rsid w:val="6BFC5A35"/>
    <w:rsid w:val="6C081A7D"/>
    <w:rsid w:val="6C0E196E"/>
    <w:rsid w:val="6C116D89"/>
    <w:rsid w:val="6C1B2F19"/>
    <w:rsid w:val="6C2C40EA"/>
    <w:rsid w:val="6C416145"/>
    <w:rsid w:val="6C437DE9"/>
    <w:rsid w:val="6C506D5A"/>
    <w:rsid w:val="6C5C6F8F"/>
    <w:rsid w:val="6C723EFB"/>
    <w:rsid w:val="6C7271BB"/>
    <w:rsid w:val="6C831604"/>
    <w:rsid w:val="6C887DB6"/>
    <w:rsid w:val="6CBA2BDC"/>
    <w:rsid w:val="6CC070DD"/>
    <w:rsid w:val="6CC221FE"/>
    <w:rsid w:val="6CCA5285"/>
    <w:rsid w:val="6CCF5658"/>
    <w:rsid w:val="6CD04BAA"/>
    <w:rsid w:val="6CD75ED3"/>
    <w:rsid w:val="6CD86C7E"/>
    <w:rsid w:val="6CE32EE9"/>
    <w:rsid w:val="6CEF6C3F"/>
    <w:rsid w:val="6CF4295E"/>
    <w:rsid w:val="6D0D6793"/>
    <w:rsid w:val="6D150790"/>
    <w:rsid w:val="6D1D080D"/>
    <w:rsid w:val="6D27226C"/>
    <w:rsid w:val="6D2B099E"/>
    <w:rsid w:val="6D2E4DF9"/>
    <w:rsid w:val="6D2F3758"/>
    <w:rsid w:val="6D310195"/>
    <w:rsid w:val="6D320E73"/>
    <w:rsid w:val="6D370C76"/>
    <w:rsid w:val="6D571D1A"/>
    <w:rsid w:val="6D5D1154"/>
    <w:rsid w:val="6D614258"/>
    <w:rsid w:val="6D676F2E"/>
    <w:rsid w:val="6D6854AA"/>
    <w:rsid w:val="6D7116B3"/>
    <w:rsid w:val="6D766187"/>
    <w:rsid w:val="6D800D98"/>
    <w:rsid w:val="6D9D0526"/>
    <w:rsid w:val="6DA15902"/>
    <w:rsid w:val="6DA73FB8"/>
    <w:rsid w:val="6DBB1693"/>
    <w:rsid w:val="6DBB2266"/>
    <w:rsid w:val="6DBC7151"/>
    <w:rsid w:val="6DF13458"/>
    <w:rsid w:val="6DF3281E"/>
    <w:rsid w:val="6DF822EF"/>
    <w:rsid w:val="6E08194C"/>
    <w:rsid w:val="6E1169B2"/>
    <w:rsid w:val="6E135579"/>
    <w:rsid w:val="6E1A2BF8"/>
    <w:rsid w:val="6E1F1C20"/>
    <w:rsid w:val="6E277F66"/>
    <w:rsid w:val="6E382511"/>
    <w:rsid w:val="6E456A0F"/>
    <w:rsid w:val="6E50216D"/>
    <w:rsid w:val="6E587B0D"/>
    <w:rsid w:val="6E5C53DF"/>
    <w:rsid w:val="6E6A3684"/>
    <w:rsid w:val="6E71738C"/>
    <w:rsid w:val="6E8D1D4C"/>
    <w:rsid w:val="6E8F384F"/>
    <w:rsid w:val="6E931D5E"/>
    <w:rsid w:val="6E9364CE"/>
    <w:rsid w:val="6EA23AD7"/>
    <w:rsid w:val="6EA71894"/>
    <w:rsid w:val="6EA7722A"/>
    <w:rsid w:val="6EA84EB8"/>
    <w:rsid w:val="6EAF69F3"/>
    <w:rsid w:val="6EB94801"/>
    <w:rsid w:val="6EC656E0"/>
    <w:rsid w:val="6EEE1D37"/>
    <w:rsid w:val="6EF22142"/>
    <w:rsid w:val="6EF92CCB"/>
    <w:rsid w:val="6EFB029B"/>
    <w:rsid w:val="6EFE2226"/>
    <w:rsid w:val="6F026036"/>
    <w:rsid w:val="6F080943"/>
    <w:rsid w:val="6F204CA4"/>
    <w:rsid w:val="6F205BEB"/>
    <w:rsid w:val="6F2530BF"/>
    <w:rsid w:val="6F263E90"/>
    <w:rsid w:val="6F271467"/>
    <w:rsid w:val="6F30737F"/>
    <w:rsid w:val="6F470F86"/>
    <w:rsid w:val="6F4B3207"/>
    <w:rsid w:val="6F5800CA"/>
    <w:rsid w:val="6F612896"/>
    <w:rsid w:val="6F631252"/>
    <w:rsid w:val="6F6318FD"/>
    <w:rsid w:val="6F6C2C28"/>
    <w:rsid w:val="6F6E2C13"/>
    <w:rsid w:val="6F7A6B4A"/>
    <w:rsid w:val="6F7F425F"/>
    <w:rsid w:val="6F846C4D"/>
    <w:rsid w:val="6F8824B2"/>
    <w:rsid w:val="6F884152"/>
    <w:rsid w:val="6F8E7095"/>
    <w:rsid w:val="6F8F6B51"/>
    <w:rsid w:val="6F9D2B1E"/>
    <w:rsid w:val="6F9E3B36"/>
    <w:rsid w:val="6FB96D02"/>
    <w:rsid w:val="6FBC744B"/>
    <w:rsid w:val="6FC93E6A"/>
    <w:rsid w:val="6FD06C9D"/>
    <w:rsid w:val="6FD07463"/>
    <w:rsid w:val="6FD34B9D"/>
    <w:rsid w:val="6FD81043"/>
    <w:rsid w:val="6FE10EE4"/>
    <w:rsid w:val="6FEF312F"/>
    <w:rsid w:val="6FF256AD"/>
    <w:rsid w:val="6FF26390"/>
    <w:rsid w:val="6FFB66B5"/>
    <w:rsid w:val="700707E5"/>
    <w:rsid w:val="7022337C"/>
    <w:rsid w:val="702463BE"/>
    <w:rsid w:val="70253B98"/>
    <w:rsid w:val="70271BB1"/>
    <w:rsid w:val="703D2EC5"/>
    <w:rsid w:val="70557DC2"/>
    <w:rsid w:val="70584F1B"/>
    <w:rsid w:val="707000BE"/>
    <w:rsid w:val="70780FAF"/>
    <w:rsid w:val="709C2A5E"/>
    <w:rsid w:val="709C525F"/>
    <w:rsid w:val="709E15B3"/>
    <w:rsid w:val="70B0255F"/>
    <w:rsid w:val="70C36F91"/>
    <w:rsid w:val="70D2086A"/>
    <w:rsid w:val="70D41955"/>
    <w:rsid w:val="70D42D40"/>
    <w:rsid w:val="70DD34AA"/>
    <w:rsid w:val="70E66CE2"/>
    <w:rsid w:val="70E806B6"/>
    <w:rsid w:val="70F21DF1"/>
    <w:rsid w:val="710465F1"/>
    <w:rsid w:val="71180ADC"/>
    <w:rsid w:val="711E447D"/>
    <w:rsid w:val="712433C1"/>
    <w:rsid w:val="71262388"/>
    <w:rsid w:val="712C39E2"/>
    <w:rsid w:val="713B7A34"/>
    <w:rsid w:val="713F0065"/>
    <w:rsid w:val="71454C62"/>
    <w:rsid w:val="71460587"/>
    <w:rsid w:val="714F3F2F"/>
    <w:rsid w:val="71566A77"/>
    <w:rsid w:val="71625AD0"/>
    <w:rsid w:val="718F26A9"/>
    <w:rsid w:val="71904702"/>
    <w:rsid w:val="7197447C"/>
    <w:rsid w:val="71974B74"/>
    <w:rsid w:val="71B85063"/>
    <w:rsid w:val="71C35EF7"/>
    <w:rsid w:val="71CB511C"/>
    <w:rsid w:val="71CC57C2"/>
    <w:rsid w:val="71CF57FA"/>
    <w:rsid w:val="71D049A9"/>
    <w:rsid w:val="72084D50"/>
    <w:rsid w:val="723212AA"/>
    <w:rsid w:val="723B7798"/>
    <w:rsid w:val="7245163B"/>
    <w:rsid w:val="7252522D"/>
    <w:rsid w:val="72601C97"/>
    <w:rsid w:val="72626D7C"/>
    <w:rsid w:val="72633E09"/>
    <w:rsid w:val="72690D2B"/>
    <w:rsid w:val="726C3030"/>
    <w:rsid w:val="727F10DC"/>
    <w:rsid w:val="72837818"/>
    <w:rsid w:val="728F36A7"/>
    <w:rsid w:val="72A74B54"/>
    <w:rsid w:val="72A83B28"/>
    <w:rsid w:val="72AF789E"/>
    <w:rsid w:val="72B42419"/>
    <w:rsid w:val="72C549F6"/>
    <w:rsid w:val="72C73943"/>
    <w:rsid w:val="72DB7B32"/>
    <w:rsid w:val="72DD072C"/>
    <w:rsid w:val="72E017B4"/>
    <w:rsid w:val="72FE30F0"/>
    <w:rsid w:val="730C3209"/>
    <w:rsid w:val="731A2097"/>
    <w:rsid w:val="73312F3A"/>
    <w:rsid w:val="73436E06"/>
    <w:rsid w:val="73473F4E"/>
    <w:rsid w:val="735C0820"/>
    <w:rsid w:val="73727E59"/>
    <w:rsid w:val="737B7D79"/>
    <w:rsid w:val="737C3A39"/>
    <w:rsid w:val="73844C27"/>
    <w:rsid w:val="73856223"/>
    <w:rsid w:val="738D78F9"/>
    <w:rsid w:val="739D01E2"/>
    <w:rsid w:val="73B23EB3"/>
    <w:rsid w:val="73BE764E"/>
    <w:rsid w:val="73C250E6"/>
    <w:rsid w:val="73C52D7F"/>
    <w:rsid w:val="73E87C54"/>
    <w:rsid w:val="73EC62EE"/>
    <w:rsid w:val="73F12838"/>
    <w:rsid w:val="73F2152A"/>
    <w:rsid w:val="73F26CEF"/>
    <w:rsid w:val="73F501BC"/>
    <w:rsid w:val="73F52D2D"/>
    <w:rsid w:val="73F76C68"/>
    <w:rsid w:val="74130656"/>
    <w:rsid w:val="74147BFC"/>
    <w:rsid w:val="743566E9"/>
    <w:rsid w:val="743D2267"/>
    <w:rsid w:val="74413A8A"/>
    <w:rsid w:val="744327FF"/>
    <w:rsid w:val="744B38B4"/>
    <w:rsid w:val="74574E86"/>
    <w:rsid w:val="745E226E"/>
    <w:rsid w:val="745F6019"/>
    <w:rsid w:val="746347FB"/>
    <w:rsid w:val="746F6CD7"/>
    <w:rsid w:val="747129EE"/>
    <w:rsid w:val="74733E94"/>
    <w:rsid w:val="74870313"/>
    <w:rsid w:val="74896E09"/>
    <w:rsid w:val="74A505AF"/>
    <w:rsid w:val="74AE46F8"/>
    <w:rsid w:val="74C06272"/>
    <w:rsid w:val="74CE4E91"/>
    <w:rsid w:val="74F52AA8"/>
    <w:rsid w:val="74FE777A"/>
    <w:rsid w:val="75063135"/>
    <w:rsid w:val="750843AC"/>
    <w:rsid w:val="750E1A31"/>
    <w:rsid w:val="751436C4"/>
    <w:rsid w:val="75300F6C"/>
    <w:rsid w:val="75310D68"/>
    <w:rsid w:val="753520D6"/>
    <w:rsid w:val="75385133"/>
    <w:rsid w:val="75536999"/>
    <w:rsid w:val="75614CC5"/>
    <w:rsid w:val="75686A30"/>
    <w:rsid w:val="757A4679"/>
    <w:rsid w:val="75881B0A"/>
    <w:rsid w:val="75A3687C"/>
    <w:rsid w:val="75AA6491"/>
    <w:rsid w:val="75AC1900"/>
    <w:rsid w:val="75AC436E"/>
    <w:rsid w:val="75AC7683"/>
    <w:rsid w:val="75BB4BD7"/>
    <w:rsid w:val="75C32CD4"/>
    <w:rsid w:val="75F7614D"/>
    <w:rsid w:val="76083C27"/>
    <w:rsid w:val="760C346F"/>
    <w:rsid w:val="761168C7"/>
    <w:rsid w:val="761E59A4"/>
    <w:rsid w:val="7636099E"/>
    <w:rsid w:val="764243EB"/>
    <w:rsid w:val="76451B5D"/>
    <w:rsid w:val="76456A33"/>
    <w:rsid w:val="764C5AA8"/>
    <w:rsid w:val="76557361"/>
    <w:rsid w:val="765D483E"/>
    <w:rsid w:val="76605B74"/>
    <w:rsid w:val="766A66A1"/>
    <w:rsid w:val="76702214"/>
    <w:rsid w:val="767C552E"/>
    <w:rsid w:val="76812326"/>
    <w:rsid w:val="76962ECD"/>
    <w:rsid w:val="76A33CBF"/>
    <w:rsid w:val="76B17E7A"/>
    <w:rsid w:val="76B64D56"/>
    <w:rsid w:val="76BA39D6"/>
    <w:rsid w:val="76C104EF"/>
    <w:rsid w:val="76C55654"/>
    <w:rsid w:val="76CE5A36"/>
    <w:rsid w:val="76D45858"/>
    <w:rsid w:val="76DA4840"/>
    <w:rsid w:val="76DD5459"/>
    <w:rsid w:val="76E32FF2"/>
    <w:rsid w:val="76EA7926"/>
    <w:rsid w:val="76F27C81"/>
    <w:rsid w:val="77067269"/>
    <w:rsid w:val="7713237F"/>
    <w:rsid w:val="771675C6"/>
    <w:rsid w:val="77196705"/>
    <w:rsid w:val="771B09B9"/>
    <w:rsid w:val="771E393B"/>
    <w:rsid w:val="772269B9"/>
    <w:rsid w:val="772657CE"/>
    <w:rsid w:val="7728418E"/>
    <w:rsid w:val="77300F79"/>
    <w:rsid w:val="7735217B"/>
    <w:rsid w:val="773A7C67"/>
    <w:rsid w:val="773F24F9"/>
    <w:rsid w:val="77477711"/>
    <w:rsid w:val="777A2998"/>
    <w:rsid w:val="77867B8E"/>
    <w:rsid w:val="77993781"/>
    <w:rsid w:val="77A72E89"/>
    <w:rsid w:val="77CD7B1F"/>
    <w:rsid w:val="77D812F1"/>
    <w:rsid w:val="77F63242"/>
    <w:rsid w:val="78082EC0"/>
    <w:rsid w:val="78112092"/>
    <w:rsid w:val="7815300D"/>
    <w:rsid w:val="781D2150"/>
    <w:rsid w:val="781F13EF"/>
    <w:rsid w:val="782861B7"/>
    <w:rsid w:val="783641F2"/>
    <w:rsid w:val="784123C0"/>
    <w:rsid w:val="78454FDA"/>
    <w:rsid w:val="78586741"/>
    <w:rsid w:val="785A5C1A"/>
    <w:rsid w:val="78627258"/>
    <w:rsid w:val="787B4A22"/>
    <w:rsid w:val="78806A0A"/>
    <w:rsid w:val="78963DE8"/>
    <w:rsid w:val="789642E2"/>
    <w:rsid w:val="7898287D"/>
    <w:rsid w:val="789A19CB"/>
    <w:rsid w:val="789F1076"/>
    <w:rsid w:val="78A44C4F"/>
    <w:rsid w:val="78BB0489"/>
    <w:rsid w:val="78BC06EC"/>
    <w:rsid w:val="78D324AC"/>
    <w:rsid w:val="78E11DC7"/>
    <w:rsid w:val="78EA40F0"/>
    <w:rsid w:val="78FF57B8"/>
    <w:rsid w:val="79161D20"/>
    <w:rsid w:val="791959D6"/>
    <w:rsid w:val="793C0300"/>
    <w:rsid w:val="79414F44"/>
    <w:rsid w:val="794362FF"/>
    <w:rsid w:val="79474159"/>
    <w:rsid w:val="794A1C30"/>
    <w:rsid w:val="79516BA8"/>
    <w:rsid w:val="796710E8"/>
    <w:rsid w:val="796D385C"/>
    <w:rsid w:val="7970509D"/>
    <w:rsid w:val="79746734"/>
    <w:rsid w:val="797870F6"/>
    <w:rsid w:val="797A1232"/>
    <w:rsid w:val="797F3637"/>
    <w:rsid w:val="79822E9B"/>
    <w:rsid w:val="798D404A"/>
    <w:rsid w:val="799169A8"/>
    <w:rsid w:val="79AA3B37"/>
    <w:rsid w:val="79B0143B"/>
    <w:rsid w:val="79BD312D"/>
    <w:rsid w:val="79C37D4B"/>
    <w:rsid w:val="79CD4000"/>
    <w:rsid w:val="79D76B6C"/>
    <w:rsid w:val="79D83F84"/>
    <w:rsid w:val="79EE552E"/>
    <w:rsid w:val="79F72506"/>
    <w:rsid w:val="79FA574A"/>
    <w:rsid w:val="79FA5CA2"/>
    <w:rsid w:val="7A06485F"/>
    <w:rsid w:val="7A064E15"/>
    <w:rsid w:val="7A0F2404"/>
    <w:rsid w:val="7A107DCE"/>
    <w:rsid w:val="7A206BC0"/>
    <w:rsid w:val="7A3C76E9"/>
    <w:rsid w:val="7A5B6F02"/>
    <w:rsid w:val="7A5C25DF"/>
    <w:rsid w:val="7A6F4253"/>
    <w:rsid w:val="7A7065ED"/>
    <w:rsid w:val="7A7137CC"/>
    <w:rsid w:val="7A7466D5"/>
    <w:rsid w:val="7A7B4F8A"/>
    <w:rsid w:val="7A7F5D6D"/>
    <w:rsid w:val="7A80030A"/>
    <w:rsid w:val="7A9F7947"/>
    <w:rsid w:val="7AA21CCC"/>
    <w:rsid w:val="7AA866CF"/>
    <w:rsid w:val="7AC56AE5"/>
    <w:rsid w:val="7ADA6691"/>
    <w:rsid w:val="7AEE6F96"/>
    <w:rsid w:val="7B0A4634"/>
    <w:rsid w:val="7B297C48"/>
    <w:rsid w:val="7B2A6E1F"/>
    <w:rsid w:val="7B324FC7"/>
    <w:rsid w:val="7B3403FC"/>
    <w:rsid w:val="7B344807"/>
    <w:rsid w:val="7B383ECE"/>
    <w:rsid w:val="7B3B0F58"/>
    <w:rsid w:val="7B57514C"/>
    <w:rsid w:val="7B6B402E"/>
    <w:rsid w:val="7B8C05A2"/>
    <w:rsid w:val="7BA750B6"/>
    <w:rsid w:val="7BAC1144"/>
    <w:rsid w:val="7BBD254D"/>
    <w:rsid w:val="7BC74D41"/>
    <w:rsid w:val="7BCF694D"/>
    <w:rsid w:val="7BD62EB9"/>
    <w:rsid w:val="7BDE03DF"/>
    <w:rsid w:val="7BE16859"/>
    <w:rsid w:val="7BE32B70"/>
    <w:rsid w:val="7BF03DA8"/>
    <w:rsid w:val="7BF529DC"/>
    <w:rsid w:val="7C055988"/>
    <w:rsid w:val="7C0626EA"/>
    <w:rsid w:val="7C084BFA"/>
    <w:rsid w:val="7C0B0F9A"/>
    <w:rsid w:val="7C0C46C9"/>
    <w:rsid w:val="7C192D07"/>
    <w:rsid w:val="7C435704"/>
    <w:rsid w:val="7C5415FC"/>
    <w:rsid w:val="7C645001"/>
    <w:rsid w:val="7C64660B"/>
    <w:rsid w:val="7C647F38"/>
    <w:rsid w:val="7C752BEE"/>
    <w:rsid w:val="7C8401DD"/>
    <w:rsid w:val="7C9D0DFA"/>
    <w:rsid w:val="7CA840C4"/>
    <w:rsid w:val="7CAE1811"/>
    <w:rsid w:val="7CBF4788"/>
    <w:rsid w:val="7CC273CC"/>
    <w:rsid w:val="7CC8565D"/>
    <w:rsid w:val="7CDE4C97"/>
    <w:rsid w:val="7CE0651C"/>
    <w:rsid w:val="7D025C92"/>
    <w:rsid w:val="7D0649D4"/>
    <w:rsid w:val="7D0844A1"/>
    <w:rsid w:val="7D1876D7"/>
    <w:rsid w:val="7D2624F6"/>
    <w:rsid w:val="7D3572BC"/>
    <w:rsid w:val="7D3E5FBA"/>
    <w:rsid w:val="7D4870CB"/>
    <w:rsid w:val="7D5701A0"/>
    <w:rsid w:val="7D5B37DD"/>
    <w:rsid w:val="7D6B0800"/>
    <w:rsid w:val="7D703E8C"/>
    <w:rsid w:val="7D776120"/>
    <w:rsid w:val="7D7D5E1A"/>
    <w:rsid w:val="7D815044"/>
    <w:rsid w:val="7D84661D"/>
    <w:rsid w:val="7D8D0581"/>
    <w:rsid w:val="7D90158A"/>
    <w:rsid w:val="7D92106B"/>
    <w:rsid w:val="7DBE4004"/>
    <w:rsid w:val="7DD00AC6"/>
    <w:rsid w:val="7DD023CD"/>
    <w:rsid w:val="7DEB1B42"/>
    <w:rsid w:val="7DEE4986"/>
    <w:rsid w:val="7E01168B"/>
    <w:rsid w:val="7E03383C"/>
    <w:rsid w:val="7E0530F8"/>
    <w:rsid w:val="7E077AAE"/>
    <w:rsid w:val="7E0B6BFC"/>
    <w:rsid w:val="7E1015C0"/>
    <w:rsid w:val="7E160AE4"/>
    <w:rsid w:val="7E16279A"/>
    <w:rsid w:val="7E243C70"/>
    <w:rsid w:val="7E283B75"/>
    <w:rsid w:val="7E2D1C88"/>
    <w:rsid w:val="7E34598F"/>
    <w:rsid w:val="7E3C70E5"/>
    <w:rsid w:val="7E3F4BA8"/>
    <w:rsid w:val="7E4571F2"/>
    <w:rsid w:val="7E4F1483"/>
    <w:rsid w:val="7E5323FC"/>
    <w:rsid w:val="7E596B42"/>
    <w:rsid w:val="7E6173BF"/>
    <w:rsid w:val="7E6C7410"/>
    <w:rsid w:val="7E72557D"/>
    <w:rsid w:val="7E732301"/>
    <w:rsid w:val="7E7D1AE7"/>
    <w:rsid w:val="7E835211"/>
    <w:rsid w:val="7E9010DA"/>
    <w:rsid w:val="7E9064D8"/>
    <w:rsid w:val="7E930E85"/>
    <w:rsid w:val="7E9D7BBD"/>
    <w:rsid w:val="7EB56BBD"/>
    <w:rsid w:val="7EC46720"/>
    <w:rsid w:val="7EC50641"/>
    <w:rsid w:val="7EC8668D"/>
    <w:rsid w:val="7EC9193C"/>
    <w:rsid w:val="7ECC7880"/>
    <w:rsid w:val="7ECD31D0"/>
    <w:rsid w:val="7ED838F6"/>
    <w:rsid w:val="7EDA3843"/>
    <w:rsid w:val="7EDC3276"/>
    <w:rsid w:val="7EF40A48"/>
    <w:rsid w:val="7F1A1886"/>
    <w:rsid w:val="7F1C0B67"/>
    <w:rsid w:val="7F2723CC"/>
    <w:rsid w:val="7F28278F"/>
    <w:rsid w:val="7F387AFF"/>
    <w:rsid w:val="7F3D0843"/>
    <w:rsid w:val="7F51366B"/>
    <w:rsid w:val="7F5311B9"/>
    <w:rsid w:val="7F531892"/>
    <w:rsid w:val="7F6556F6"/>
    <w:rsid w:val="7F671FC5"/>
    <w:rsid w:val="7F6B2BB4"/>
    <w:rsid w:val="7F722BB1"/>
    <w:rsid w:val="7F734713"/>
    <w:rsid w:val="7F8077BA"/>
    <w:rsid w:val="7F8A0A29"/>
    <w:rsid w:val="7F9073B3"/>
    <w:rsid w:val="7F9677A5"/>
    <w:rsid w:val="7F9A0EB1"/>
    <w:rsid w:val="7F9D42B1"/>
    <w:rsid w:val="7FA646B7"/>
    <w:rsid w:val="7FB8212C"/>
    <w:rsid w:val="7FC12DB8"/>
    <w:rsid w:val="7FC56BE7"/>
    <w:rsid w:val="7FCC1F9D"/>
    <w:rsid w:val="7FE43F02"/>
    <w:rsid w:val="7FED1FD2"/>
    <w:rsid w:val="7FEE47A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5"/>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等线" w:hAnsi="等线" w:eastAsia="等线"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39" w:semiHidden="0" w:name="toc 1"/>
    <w:lsdException w:qFormat="1" w:uiPriority="39" w:semiHidden="0" w:name="toc 2"/>
    <w:lsdException w:qFormat="1" w:uiPriority="39" w:semiHidden="0" w:name="toc 3"/>
    <w:lsdException w:uiPriority="0" w:name="toc 4"/>
    <w:lsdException w:uiPriority="0" w:name="toc 5"/>
    <w:lsdException w:uiPriority="0" w:name="toc 6"/>
    <w:lsdException w:uiPriority="0" w:name="toc 7"/>
    <w:lsdException w:uiPriority="0" w:name="toc 8"/>
    <w:lsdException w:uiPriority="0" w:name="toc 9"/>
    <w:lsdException w:qFormat="1" w:uiPriority="99"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qFormat="1" w:unhideWhenUsed="0" w:uiPriority="0" w:semiHidden="0" w:name="footnote reference"/>
    <w:lsdException w:qFormat="1" w:unhideWhenUsed="0" w:uiPriority="0" w:semiHidden="0" w:name="annotation reference"/>
    <w:lsdException w:uiPriority="0" w:name="line number"/>
    <w:lsdException w:uiPriority="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22" w:semiHidden="0" w:name="Strong"/>
    <w:lsdException w:qFormat="1" w:unhideWhenUsed="0" w:uiPriority="0" w:semiHidden="0" w:name="Emphasis"/>
    <w:lsdException w:qFormat="1"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9"/>
    <w:pPr>
      <w:keepNext/>
      <w:keepLines/>
      <w:adjustRightInd w:val="0"/>
      <w:snapToGrid w:val="0"/>
      <w:spacing w:line="600" w:lineRule="exact"/>
      <w:ind w:firstLine="200" w:firstLineChars="200"/>
      <w:outlineLvl w:val="0"/>
    </w:pPr>
    <w:rPr>
      <w:rFonts w:eastAsia="黑体"/>
      <w:b/>
      <w:bCs/>
      <w:kern w:val="44"/>
      <w:sz w:val="32"/>
      <w:szCs w:val="44"/>
    </w:rPr>
  </w:style>
  <w:style w:type="paragraph" w:styleId="4">
    <w:name w:val="heading 2"/>
    <w:basedOn w:val="1"/>
    <w:next w:val="1"/>
    <w:unhideWhenUsed/>
    <w:qFormat/>
    <w:uiPriority w:val="0"/>
    <w:pPr>
      <w:adjustRightInd w:val="0"/>
      <w:snapToGrid w:val="0"/>
      <w:spacing w:line="600" w:lineRule="exact"/>
      <w:ind w:firstLine="200" w:firstLineChars="200"/>
      <w:outlineLvl w:val="1"/>
    </w:pPr>
    <w:rPr>
      <w:rFonts w:ascii="Times New Roman" w:hAnsi="Times New Roman" w:eastAsia="楷体_GB2312" w:cs="Times New Roman"/>
      <w:b/>
      <w:sz w:val="32"/>
      <w:szCs w:val="32"/>
    </w:rPr>
  </w:style>
  <w:style w:type="paragraph" w:styleId="5">
    <w:name w:val="heading 3"/>
    <w:basedOn w:val="1"/>
    <w:next w:val="1"/>
    <w:unhideWhenUsed/>
    <w:qFormat/>
    <w:uiPriority w:val="9"/>
    <w:pPr>
      <w:keepNext/>
      <w:keepLines/>
      <w:spacing w:line="600" w:lineRule="exact"/>
      <w:ind w:firstLine="200" w:firstLineChars="200"/>
      <w:outlineLvl w:val="2"/>
    </w:pPr>
    <w:rPr>
      <w:rFonts w:ascii="Times New Roman" w:hAnsi="Times New Roman" w:eastAsia="仿宋"/>
      <w:b/>
      <w:bCs/>
      <w:sz w:val="32"/>
      <w:szCs w:val="32"/>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Normal Indent"/>
    <w:basedOn w:val="1"/>
    <w:unhideWhenUsed/>
    <w:qFormat/>
    <w:uiPriority w:val="99"/>
    <w:pPr>
      <w:ind w:firstLine="420" w:firstLineChars="200"/>
    </w:pPr>
    <w:rPr>
      <w:rFonts w:ascii="Times New Roman" w:hAnsi="Times New Roman" w:eastAsia="宋体" w:cs="Times New Roman"/>
    </w:rPr>
  </w:style>
  <w:style w:type="paragraph" w:styleId="6">
    <w:name w:val="Document Map"/>
    <w:basedOn w:val="1"/>
    <w:link w:val="41"/>
    <w:semiHidden/>
    <w:unhideWhenUsed/>
    <w:qFormat/>
    <w:uiPriority w:val="0"/>
    <w:rPr>
      <w:rFonts w:ascii="宋体" w:eastAsia="宋体"/>
      <w:sz w:val="18"/>
      <w:szCs w:val="18"/>
    </w:rPr>
  </w:style>
  <w:style w:type="paragraph" w:styleId="7">
    <w:name w:val="annotation text"/>
    <w:basedOn w:val="1"/>
    <w:qFormat/>
    <w:uiPriority w:val="0"/>
    <w:pPr>
      <w:jc w:val="left"/>
    </w:pPr>
  </w:style>
  <w:style w:type="paragraph" w:styleId="8">
    <w:name w:val="toc 3"/>
    <w:basedOn w:val="1"/>
    <w:next w:val="1"/>
    <w:unhideWhenUsed/>
    <w:qFormat/>
    <w:uiPriority w:val="39"/>
    <w:pPr>
      <w:widowControl/>
      <w:spacing w:after="100" w:line="259" w:lineRule="auto"/>
      <w:ind w:left="440"/>
      <w:jc w:val="left"/>
    </w:pPr>
    <w:rPr>
      <w:rFonts w:cs="Times New Roman"/>
      <w:kern w:val="0"/>
      <w:sz w:val="22"/>
    </w:rPr>
  </w:style>
  <w:style w:type="paragraph" w:styleId="9">
    <w:name w:val="endnote text"/>
    <w:basedOn w:val="1"/>
    <w:link w:val="32"/>
    <w:qFormat/>
    <w:uiPriority w:val="0"/>
    <w:pPr>
      <w:snapToGrid w:val="0"/>
      <w:jc w:val="left"/>
    </w:pPr>
  </w:style>
  <w:style w:type="paragraph" w:styleId="10">
    <w:name w:val="Balloon Text"/>
    <w:basedOn w:val="1"/>
    <w:link w:val="30"/>
    <w:qFormat/>
    <w:uiPriority w:val="0"/>
    <w:rPr>
      <w:sz w:val="18"/>
      <w:szCs w:val="18"/>
    </w:rPr>
  </w:style>
  <w:style w:type="paragraph" w:styleId="11">
    <w:name w:val="footer"/>
    <w:basedOn w:val="1"/>
    <w:unhideWhenUsed/>
    <w:qFormat/>
    <w:uiPriority w:val="99"/>
    <w:pPr>
      <w:tabs>
        <w:tab w:val="center" w:pos="4153"/>
        <w:tab w:val="right" w:pos="8306"/>
      </w:tabs>
      <w:snapToGrid w:val="0"/>
      <w:jc w:val="left"/>
    </w:pPr>
    <w:rPr>
      <w:sz w:val="18"/>
      <w:szCs w:val="18"/>
    </w:rPr>
  </w:style>
  <w:style w:type="paragraph" w:styleId="1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3">
    <w:name w:val="toc 1"/>
    <w:basedOn w:val="1"/>
    <w:next w:val="1"/>
    <w:unhideWhenUsed/>
    <w:qFormat/>
    <w:uiPriority w:val="39"/>
    <w:pPr>
      <w:widowControl/>
      <w:spacing w:after="100" w:line="259" w:lineRule="auto"/>
      <w:jc w:val="left"/>
    </w:pPr>
    <w:rPr>
      <w:rFonts w:cs="Times New Roman"/>
      <w:kern w:val="0"/>
      <w:sz w:val="22"/>
    </w:rPr>
  </w:style>
  <w:style w:type="paragraph" w:styleId="14">
    <w:name w:val="footnote text"/>
    <w:basedOn w:val="1"/>
    <w:link w:val="31"/>
    <w:qFormat/>
    <w:uiPriority w:val="0"/>
    <w:pPr>
      <w:snapToGrid w:val="0"/>
      <w:jc w:val="left"/>
    </w:pPr>
    <w:rPr>
      <w:sz w:val="18"/>
      <w:szCs w:val="18"/>
    </w:rPr>
  </w:style>
  <w:style w:type="paragraph" w:styleId="15">
    <w:name w:val="toc 2"/>
    <w:basedOn w:val="1"/>
    <w:next w:val="1"/>
    <w:unhideWhenUsed/>
    <w:qFormat/>
    <w:uiPriority w:val="39"/>
    <w:pPr>
      <w:widowControl/>
      <w:spacing w:after="100" w:line="259" w:lineRule="auto"/>
      <w:ind w:left="220"/>
      <w:jc w:val="left"/>
    </w:pPr>
    <w:rPr>
      <w:rFonts w:cs="Times New Roman"/>
      <w:kern w:val="0"/>
      <w:sz w:val="22"/>
    </w:rPr>
  </w:style>
  <w:style w:type="paragraph" w:styleId="16">
    <w:name w:val="Normal (Web)"/>
    <w:basedOn w:val="1"/>
    <w:qFormat/>
    <w:uiPriority w:val="99"/>
    <w:pPr>
      <w:spacing w:beforeAutospacing="1" w:afterAutospacing="1"/>
      <w:jc w:val="left"/>
    </w:pPr>
    <w:rPr>
      <w:rFonts w:cs="Times New Roman"/>
      <w:kern w:val="0"/>
      <w:sz w:val="24"/>
    </w:rPr>
  </w:style>
  <w:style w:type="table" w:styleId="18">
    <w:name w:val="Table Grid"/>
    <w:basedOn w:val="1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0">
    <w:name w:val="Strong"/>
    <w:basedOn w:val="19"/>
    <w:qFormat/>
    <w:uiPriority w:val="22"/>
    <w:rPr>
      <w:b/>
    </w:rPr>
  </w:style>
  <w:style w:type="character" w:styleId="21">
    <w:name w:val="endnote reference"/>
    <w:basedOn w:val="19"/>
    <w:qFormat/>
    <w:uiPriority w:val="0"/>
    <w:rPr>
      <w:vertAlign w:val="superscript"/>
    </w:rPr>
  </w:style>
  <w:style w:type="character" w:styleId="22">
    <w:name w:val="Hyperlink"/>
    <w:basedOn w:val="19"/>
    <w:unhideWhenUsed/>
    <w:qFormat/>
    <w:uiPriority w:val="99"/>
    <w:rPr>
      <w:color w:val="0563C1" w:themeColor="hyperlink"/>
      <w:u w:val="single"/>
    </w:rPr>
  </w:style>
  <w:style w:type="character" w:styleId="23">
    <w:name w:val="annotation reference"/>
    <w:basedOn w:val="19"/>
    <w:qFormat/>
    <w:uiPriority w:val="0"/>
    <w:rPr>
      <w:sz w:val="21"/>
      <w:szCs w:val="21"/>
    </w:rPr>
  </w:style>
  <w:style w:type="character" w:styleId="24">
    <w:name w:val="footnote reference"/>
    <w:basedOn w:val="19"/>
    <w:qFormat/>
    <w:uiPriority w:val="0"/>
    <w:rPr>
      <w:vertAlign w:val="superscript"/>
    </w:rPr>
  </w:style>
  <w:style w:type="paragraph" w:customStyle="1" w:styleId="25">
    <w:name w:val="TOC 标题1"/>
    <w:basedOn w:val="3"/>
    <w:next w:val="1"/>
    <w:unhideWhenUsed/>
    <w:qFormat/>
    <w:uiPriority w:val="39"/>
    <w:pPr>
      <w:widowControl/>
      <w:spacing w:before="240" w:line="259" w:lineRule="auto"/>
      <w:jc w:val="left"/>
      <w:outlineLvl w:val="9"/>
    </w:pPr>
    <w:rPr>
      <w:rFonts w:asciiTheme="majorHAnsi" w:hAnsiTheme="majorHAnsi" w:eastAsiaTheme="majorEastAsia" w:cstheme="majorBidi"/>
      <w:b w:val="0"/>
      <w:bCs w:val="0"/>
      <w:color w:val="2E75B5" w:themeColor="accent1" w:themeShade="BF"/>
      <w:kern w:val="0"/>
      <w:szCs w:val="32"/>
    </w:rPr>
  </w:style>
  <w:style w:type="paragraph" w:customStyle="1" w:styleId="26">
    <w:name w:val="p0"/>
    <w:basedOn w:val="1"/>
    <w:qFormat/>
    <w:uiPriority w:val="0"/>
    <w:pPr>
      <w:spacing w:line="560" w:lineRule="exact"/>
      <w:ind w:firstLine="482"/>
      <w:jc w:val="center"/>
    </w:pPr>
    <w:rPr>
      <w:rFonts w:ascii="Times New Roman" w:hAnsi="Times New Roman" w:eastAsia="宋体" w:cs="Times New Roman"/>
      <w:b/>
      <w:szCs w:val="21"/>
    </w:rPr>
  </w:style>
  <w:style w:type="paragraph" w:customStyle="1" w:styleId="27">
    <w:name w:val="Default"/>
    <w:basedOn w:val="1"/>
    <w:qFormat/>
    <w:uiPriority w:val="0"/>
    <w:rPr>
      <w:rFonts w:ascii="Times New Roman" w:hAnsi="Times New Roman" w:eastAsia="宋体" w:cs="Times New Roman"/>
      <w:kern w:val="0"/>
      <w:szCs w:val="21"/>
    </w:rPr>
  </w:style>
  <w:style w:type="paragraph" w:customStyle="1" w:styleId="28">
    <w:name w:val="p15"/>
    <w:basedOn w:val="1"/>
    <w:qFormat/>
    <w:uiPriority w:val="0"/>
    <w:pPr>
      <w:spacing w:line="360" w:lineRule="auto"/>
      <w:ind w:firstLine="200" w:firstLineChars="200"/>
    </w:pPr>
    <w:rPr>
      <w:sz w:val="24"/>
      <w:szCs w:val="28"/>
    </w:rPr>
  </w:style>
  <w:style w:type="character" w:customStyle="1" w:styleId="29">
    <w:name w:val="NormalCharacter"/>
    <w:qFormat/>
    <w:uiPriority w:val="0"/>
  </w:style>
  <w:style w:type="character" w:customStyle="1" w:styleId="30">
    <w:name w:val="批注框文本 Char"/>
    <w:basedOn w:val="19"/>
    <w:link w:val="10"/>
    <w:qFormat/>
    <w:uiPriority w:val="0"/>
    <w:rPr>
      <w:rFonts w:asciiTheme="minorHAnsi" w:hAnsiTheme="minorHAnsi" w:eastAsiaTheme="minorEastAsia" w:cstheme="minorBidi"/>
      <w:kern w:val="2"/>
      <w:sz w:val="18"/>
      <w:szCs w:val="18"/>
    </w:rPr>
  </w:style>
  <w:style w:type="character" w:customStyle="1" w:styleId="31">
    <w:name w:val="脚注文本 Char"/>
    <w:basedOn w:val="19"/>
    <w:link w:val="14"/>
    <w:qFormat/>
    <w:uiPriority w:val="0"/>
    <w:rPr>
      <w:rFonts w:asciiTheme="minorHAnsi" w:hAnsiTheme="minorHAnsi" w:eastAsiaTheme="minorEastAsia" w:cstheme="minorBidi"/>
      <w:kern w:val="2"/>
      <w:sz w:val="18"/>
      <w:szCs w:val="18"/>
    </w:rPr>
  </w:style>
  <w:style w:type="character" w:customStyle="1" w:styleId="32">
    <w:name w:val="尾注文本 Char"/>
    <w:basedOn w:val="19"/>
    <w:link w:val="9"/>
    <w:qFormat/>
    <w:uiPriority w:val="0"/>
    <w:rPr>
      <w:rFonts w:asciiTheme="minorHAnsi" w:hAnsiTheme="minorHAnsi" w:eastAsiaTheme="minorEastAsia" w:cstheme="minorBidi"/>
      <w:kern w:val="2"/>
      <w:sz w:val="21"/>
      <w:szCs w:val="24"/>
    </w:rPr>
  </w:style>
  <w:style w:type="character" w:customStyle="1" w:styleId="33">
    <w:name w:val="font21"/>
    <w:basedOn w:val="19"/>
    <w:qFormat/>
    <w:uiPriority w:val="0"/>
    <w:rPr>
      <w:rFonts w:hint="default" w:ascii="Times New Roman" w:hAnsi="Times New Roman" w:cs="Times New Roman"/>
      <w:color w:val="000000"/>
      <w:sz w:val="15"/>
      <w:szCs w:val="15"/>
      <w:u w:val="none"/>
    </w:rPr>
  </w:style>
  <w:style w:type="character" w:customStyle="1" w:styleId="34">
    <w:name w:val="font11"/>
    <w:basedOn w:val="19"/>
    <w:qFormat/>
    <w:uiPriority w:val="0"/>
    <w:rPr>
      <w:rFonts w:hint="eastAsia" w:ascii="宋体" w:hAnsi="宋体" w:eastAsia="宋体"/>
      <w:color w:val="000000"/>
      <w:sz w:val="15"/>
      <w:szCs w:val="15"/>
      <w:u w:val="none"/>
    </w:rPr>
  </w:style>
  <w:style w:type="character" w:customStyle="1" w:styleId="35">
    <w:name w:val="bjh-strong"/>
    <w:basedOn w:val="19"/>
    <w:qFormat/>
    <w:uiPriority w:val="0"/>
  </w:style>
  <w:style w:type="character" w:customStyle="1" w:styleId="36">
    <w:name w:val="15"/>
    <w:basedOn w:val="19"/>
    <w:qFormat/>
    <w:uiPriority w:val="0"/>
    <w:rPr>
      <w:rFonts w:hint="default" w:ascii="Calibri" w:hAnsi="Calibri" w:eastAsia="仿宋_GB2312" w:cs="Calibri"/>
      <w:kern w:val="2"/>
      <w:sz w:val="32"/>
      <w:szCs w:val="32"/>
    </w:rPr>
  </w:style>
  <w:style w:type="paragraph" w:customStyle="1" w:styleId="37">
    <w:name w:val="正文1"/>
    <w:qFormat/>
    <w:uiPriority w:val="0"/>
    <w:pPr>
      <w:jc w:val="both"/>
    </w:pPr>
    <w:rPr>
      <w:rFonts w:ascii="Calibri" w:hAnsi="Calibri" w:eastAsia="宋体" w:cs="Calibri"/>
      <w:kern w:val="2"/>
      <w:sz w:val="21"/>
      <w:szCs w:val="21"/>
      <w:lang w:val="en-US" w:eastAsia="zh-CN" w:bidi="ar-SA"/>
    </w:rPr>
  </w:style>
  <w:style w:type="paragraph" w:customStyle="1" w:styleId="38">
    <w:name w:val="列出段落1"/>
    <w:basedOn w:val="1"/>
    <w:qFormat/>
    <w:uiPriority w:val="0"/>
    <w:pPr>
      <w:ind w:firstLine="420" w:firstLineChars="200"/>
    </w:pPr>
    <w:rPr>
      <w:rFonts w:ascii="宋体" w:hAnsi="Calibri" w:eastAsia="宋体" w:cs="Times New Roman"/>
      <w:sz w:val="24"/>
    </w:rPr>
  </w:style>
  <w:style w:type="character" w:customStyle="1" w:styleId="39">
    <w:name w:val="font31"/>
    <w:basedOn w:val="19"/>
    <w:qFormat/>
    <w:uiPriority w:val="0"/>
    <w:rPr>
      <w:rFonts w:hint="eastAsia" w:ascii="仿宋" w:hAnsi="仿宋" w:eastAsia="仿宋"/>
      <w:color w:val="000000"/>
      <w:sz w:val="15"/>
      <w:szCs w:val="15"/>
      <w:u w:val="none"/>
    </w:rPr>
  </w:style>
  <w:style w:type="paragraph" w:styleId="40">
    <w:name w:val="List Paragraph"/>
    <w:basedOn w:val="1"/>
    <w:qFormat/>
    <w:uiPriority w:val="99"/>
    <w:pPr>
      <w:ind w:firstLine="420" w:firstLineChars="200"/>
    </w:pPr>
  </w:style>
  <w:style w:type="character" w:customStyle="1" w:styleId="41">
    <w:name w:val="文档结构图 Char"/>
    <w:basedOn w:val="19"/>
    <w:link w:val="6"/>
    <w:semiHidden/>
    <w:qFormat/>
    <w:uiPriority w:val="0"/>
    <w:rPr>
      <w:rFonts w:ascii="宋体" w:eastAsia="宋体" w:hAnsiTheme="minorHAnsi"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hart" Target="charts/chart2.xml"/><Relationship Id="rId8" Type="http://schemas.openxmlformats.org/officeDocument/2006/relationships/chart" Target="charts/chart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8" Type="http://schemas.openxmlformats.org/officeDocument/2006/relationships/fontTable" Target="fontTable.xml"/><Relationship Id="rId37" Type="http://schemas.openxmlformats.org/officeDocument/2006/relationships/customXml" Target="../customXml/item2.xml"/><Relationship Id="rId36" Type="http://schemas.openxmlformats.org/officeDocument/2006/relationships/customXml" Target="../customXml/item1.xml"/><Relationship Id="rId35" Type="http://schemas.openxmlformats.org/officeDocument/2006/relationships/chart" Target="charts/chart28.xml"/><Relationship Id="rId34" Type="http://schemas.openxmlformats.org/officeDocument/2006/relationships/chart" Target="charts/chart27.xml"/><Relationship Id="rId33" Type="http://schemas.openxmlformats.org/officeDocument/2006/relationships/chart" Target="charts/chart26.xml"/><Relationship Id="rId32" Type="http://schemas.openxmlformats.org/officeDocument/2006/relationships/chart" Target="charts/chart25.xml"/><Relationship Id="rId31" Type="http://schemas.openxmlformats.org/officeDocument/2006/relationships/chart" Target="charts/chart24.xml"/><Relationship Id="rId30" Type="http://schemas.openxmlformats.org/officeDocument/2006/relationships/chart" Target="charts/chart23.xml"/><Relationship Id="rId3" Type="http://schemas.openxmlformats.org/officeDocument/2006/relationships/footnotes" Target="footnotes.xml"/><Relationship Id="rId29" Type="http://schemas.openxmlformats.org/officeDocument/2006/relationships/chart" Target="charts/chart22.xml"/><Relationship Id="rId28" Type="http://schemas.openxmlformats.org/officeDocument/2006/relationships/chart" Target="charts/chart21.xml"/><Relationship Id="rId27" Type="http://schemas.openxmlformats.org/officeDocument/2006/relationships/chart" Target="charts/chart20.xml"/><Relationship Id="rId26" Type="http://schemas.openxmlformats.org/officeDocument/2006/relationships/chart" Target="charts/chart19.xml"/><Relationship Id="rId25" Type="http://schemas.openxmlformats.org/officeDocument/2006/relationships/chart" Target="charts/chart18.xml"/><Relationship Id="rId24" Type="http://schemas.openxmlformats.org/officeDocument/2006/relationships/chart" Target="charts/chart17.xml"/><Relationship Id="rId23" Type="http://schemas.openxmlformats.org/officeDocument/2006/relationships/chart" Target="charts/chart16.xml"/><Relationship Id="rId22" Type="http://schemas.openxmlformats.org/officeDocument/2006/relationships/chart" Target="charts/chart15.xml"/><Relationship Id="rId21" Type="http://schemas.openxmlformats.org/officeDocument/2006/relationships/chart" Target="charts/chart14.xml"/><Relationship Id="rId20" Type="http://schemas.openxmlformats.org/officeDocument/2006/relationships/chart" Target="charts/chart13.xml"/><Relationship Id="rId2" Type="http://schemas.openxmlformats.org/officeDocument/2006/relationships/settings" Target="settings.xml"/><Relationship Id="rId19" Type="http://schemas.openxmlformats.org/officeDocument/2006/relationships/chart" Target="charts/chart12.xml"/><Relationship Id="rId18" Type="http://schemas.openxmlformats.org/officeDocument/2006/relationships/chart" Target="charts/chart11.xml"/><Relationship Id="rId17" Type="http://schemas.openxmlformats.org/officeDocument/2006/relationships/chart" Target="charts/chart10.xml"/><Relationship Id="rId16" Type="http://schemas.openxmlformats.org/officeDocument/2006/relationships/chart" Target="charts/chart9.xml"/><Relationship Id="rId15" Type="http://schemas.openxmlformats.org/officeDocument/2006/relationships/chart" Target="charts/chart8.xml"/><Relationship Id="rId14" Type="http://schemas.openxmlformats.org/officeDocument/2006/relationships/chart" Target="charts/chart7.xml"/><Relationship Id="rId13" Type="http://schemas.openxmlformats.org/officeDocument/2006/relationships/chart" Target="charts/chart6.xml"/><Relationship Id="rId12" Type="http://schemas.openxmlformats.org/officeDocument/2006/relationships/chart" Target="charts/chart5.xml"/><Relationship Id="rId11" Type="http://schemas.openxmlformats.org/officeDocument/2006/relationships/chart" Target="charts/chart4.xml"/><Relationship Id="rId10" Type="http://schemas.openxmlformats.org/officeDocument/2006/relationships/chart" Target="charts/chart3.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60420\Desktop\&#26032;&#24314;%20Microsoft%20Excel%20&#24037;&#20316;&#34920;.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lidong\Desktop\&#35268;&#21010;&#35838;&#20214;\&#25968;&#25454;.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lidong\Desktop\&#35268;&#21010;&#35838;&#20214;\&#25968;&#25454;.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Administrator\Desktop\&#26032;&#24314;%20Microsoft%20Excel%20&#24037;&#20316;&#34920;.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Administrator\Desktop\&#26032;&#24314;%20Microsoft%20Excel%20&#24037;&#20316;&#34920;%20(2).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lidong\Desktop\&#35268;&#21010;&#35838;&#20214;\&#25968;&#25454;.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Administrator\Desktop\3.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lidong\Desktop\&#35268;&#21010;&#35838;&#20214;\&#25968;&#25454;.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lidong\Desktop\&#35268;&#21010;&#35838;&#20214;\&#25968;&#25454;.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Users\lidong\Desktop\&#35268;&#21010;&#35838;&#20214;\&#25968;&#25454;.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Users\lidong\Desktop\&#35268;&#21010;&#35838;&#20214;\&#25968;&#2545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lidong\Desktop\&#24037;&#20316;&#31807;1.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C:\Users\lidong\Desktop\&#35268;&#21010;&#35838;&#20214;\&#25968;&#25454;.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C:\Users\lidong\Desktop\&#35268;&#21010;&#35838;&#20214;\&#25968;&#25454;.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24037;&#20316;&#31807;1"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24037;&#20316;&#31807;1"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C:\Users\60420\Desktop\&#26032;&#24314;%20Microsoft%20Excel%20&#24037;&#20316;&#34920;.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C:\Users\60420\Desktop\&#26032;&#24314;%20Microsoft%20Excel%20&#24037;&#20316;&#34920;.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C:\Users\Administrator\Desktop\&#26032;&#24314;%20Microsoft%20Excel%20&#24037;&#20316;&#34920;.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C:\Users\60420\Desktop\&#26032;&#24314;%20Microsoft%20Excel%20&#24037;&#20316;&#34920;.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C:\Users\60420\Desktop\&#26032;&#24314;%20Microsoft%20Excel%20&#24037;&#20316;&#3492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lidong\Desktop\&#24037;&#20316;&#31807;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lidong\Desktop\&#24037;&#20316;&#31807;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lidong\Desktop\&#24037;&#20316;&#31807;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lidong\Desktop\&#24037;&#20316;&#31807;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lidong\Desktop\&#24037;&#20316;&#31807;1.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lidong\Desktop\&#35268;&#21010;&#35838;&#20214;\&#25968;&#25454;.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lidong\Desktop\&#35268;&#21010;&#35838;&#20214;\&#25968;&#2545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Sheet1!$A$2</c:f>
              <c:strCache>
                <c:ptCount val="1"/>
                <c:pt idx="0">
                  <c:v>30%</c:v>
                </c:pt>
              </c:strCache>
            </c:strRef>
          </c:tx>
          <c:spPr>
            <a:solidFill>
              <a:srgbClr val="00B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800" b="0" i="0" u="none" strike="noStrike" kern="1200" baseline="0">
                    <a:solidFill>
                      <a:schemeClr val="tx1">
                        <a:lumMod val="75000"/>
                        <a:lumOff val="25000"/>
                      </a:schemeClr>
                    </a:solidFill>
                    <a:latin typeface="Times New Roman" panose="02020603050405020304" charset="0"/>
                    <a:ea typeface="+mn-ea"/>
                    <a:cs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numRef>
              <c:f>Sheet1!$B$1:$G$1</c:f>
              <c:numCache>
                <c:formatCode>General</c:formatCode>
                <c:ptCount val="6"/>
                <c:pt idx="0">
                  <c:v>2020</c:v>
                </c:pt>
                <c:pt idx="1">
                  <c:v>2021</c:v>
                </c:pt>
                <c:pt idx="2">
                  <c:v>2022</c:v>
                </c:pt>
                <c:pt idx="3">
                  <c:v>2023</c:v>
                </c:pt>
                <c:pt idx="4">
                  <c:v>2024</c:v>
                </c:pt>
                <c:pt idx="5">
                  <c:v>2025</c:v>
                </c:pt>
              </c:numCache>
            </c:numRef>
          </c:cat>
          <c:val>
            <c:numRef>
              <c:f>Sheet1!$B$2:$G$2</c:f>
              <c:numCache>
                <c:formatCode>General</c:formatCode>
                <c:ptCount val="6"/>
                <c:pt idx="0">
                  <c:v>12.3</c:v>
                </c:pt>
                <c:pt idx="1">
                  <c:v>16</c:v>
                </c:pt>
                <c:pt idx="2">
                  <c:v>20.8</c:v>
                </c:pt>
                <c:pt idx="3">
                  <c:v>27.1</c:v>
                </c:pt>
                <c:pt idx="4">
                  <c:v>35.2</c:v>
                </c:pt>
                <c:pt idx="5">
                  <c:v>45.7</c:v>
                </c:pt>
              </c:numCache>
            </c:numRef>
          </c:val>
        </c:ser>
        <c:ser>
          <c:idx val="1"/>
          <c:order val="1"/>
          <c:tx>
            <c:strRef>
              <c:f>Sheet1!$A$3</c:f>
              <c:strCache>
                <c:ptCount val="1"/>
                <c:pt idx="0">
                  <c:v>40%</c:v>
                </c:pt>
              </c:strCache>
            </c:strRef>
          </c:tx>
          <c:spPr>
            <a:solidFill>
              <a:srgbClr val="FFC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800" b="0" i="0" u="none" strike="noStrike" kern="1200" baseline="0">
                    <a:solidFill>
                      <a:schemeClr val="tx1">
                        <a:lumMod val="75000"/>
                        <a:lumOff val="25000"/>
                      </a:schemeClr>
                    </a:solidFill>
                    <a:latin typeface="Times New Roman" panose="02020603050405020304" charset="0"/>
                    <a:ea typeface="+mn-ea"/>
                    <a:cs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numRef>
              <c:f>Sheet1!$B$1:$G$1</c:f>
              <c:numCache>
                <c:formatCode>General</c:formatCode>
                <c:ptCount val="6"/>
                <c:pt idx="0">
                  <c:v>2020</c:v>
                </c:pt>
                <c:pt idx="1">
                  <c:v>2021</c:v>
                </c:pt>
                <c:pt idx="2">
                  <c:v>2022</c:v>
                </c:pt>
                <c:pt idx="3">
                  <c:v>2023</c:v>
                </c:pt>
                <c:pt idx="4">
                  <c:v>2024</c:v>
                </c:pt>
                <c:pt idx="5">
                  <c:v>2025</c:v>
                </c:pt>
              </c:numCache>
            </c:numRef>
          </c:cat>
          <c:val>
            <c:numRef>
              <c:f>Sheet1!$B$3:$G$3</c:f>
              <c:numCache>
                <c:formatCode>General</c:formatCode>
                <c:ptCount val="6"/>
                <c:pt idx="0">
                  <c:v>12.3</c:v>
                </c:pt>
                <c:pt idx="1">
                  <c:v>17.2</c:v>
                </c:pt>
                <c:pt idx="2">
                  <c:v>24.1</c:v>
                </c:pt>
                <c:pt idx="3">
                  <c:v>33.8</c:v>
                </c:pt>
                <c:pt idx="4">
                  <c:v>47.3</c:v>
                </c:pt>
                <c:pt idx="5">
                  <c:v>66.2</c:v>
                </c:pt>
              </c:numCache>
            </c:numRef>
          </c:val>
        </c:ser>
        <c:ser>
          <c:idx val="2"/>
          <c:order val="2"/>
          <c:tx>
            <c:strRef>
              <c:f>Sheet1!$A$4</c:f>
              <c:strCache>
                <c:ptCount val="1"/>
                <c:pt idx="0">
                  <c:v>50%</c:v>
                </c:pt>
              </c:strCache>
            </c:strRef>
          </c:tx>
          <c:spPr>
            <a:solidFill>
              <a:srgbClr val="00808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800" b="0" i="0" u="none" strike="noStrike" kern="1200" baseline="0">
                    <a:solidFill>
                      <a:schemeClr val="tx1">
                        <a:lumMod val="75000"/>
                        <a:lumOff val="25000"/>
                      </a:schemeClr>
                    </a:solidFill>
                    <a:latin typeface="Times New Roman" panose="02020603050405020304" charset="0"/>
                    <a:ea typeface="+mn-ea"/>
                    <a:cs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numRef>
              <c:f>Sheet1!$B$1:$G$1</c:f>
              <c:numCache>
                <c:formatCode>General</c:formatCode>
                <c:ptCount val="6"/>
                <c:pt idx="0">
                  <c:v>2020</c:v>
                </c:pt>
                <c:pt idx="1">
                  <c:v>2021</c:v>
                </c:pt>
                <c:pt idx="2">
                  <c:v>2022</c:v>
                </c:pt>
                <c:pt idx="3">
                  <c:v>2023</c:v>
                </c:pt>
                <c:pt idx="4">
                  <c:v>2024</c:v>
                </c:pt>
                <c:pt idx="5">
                  <c:v>2025</c:v>
                </c:pt>
              </c:numCache>
            </c:numRef>
          </c:cat>
          <c:val>
            <c:numRef>
              <c:f>Sheet1!$B$4:$G$4</c:f>
              <c:numCache>
                <c:formatCode>General</c:formatCode>
                <c:ptCount val="6"/>
                <c:pt idx="0">
                  <c:v>12.3</c:v>
                </c:pt>
                <c:pt idx="1">
                  <c:v>18.5</c:v>
                </c:pt>
                <c:pt idx="2">
                  <c:v>27.7</c:v>
                </c:pt>
                <c:pt idx="3">
                  <c:v>41.5</c:v>
                </c:pt>
                <c:pt idx="4">
                  <c:v>62.3</c:v>
                </c:pt>
                <c:pt idx="5">
                  <c:v>93.5</c:v>
                </c:pt>
              </c:numCache>
            </c:numRef>
          </c:val>
        </c:ser>
        <c:dLbls>
          <c:showLegendKey val="0"/>
          <c:showVal val="1"/>
          <c:showCatName val="0"/>
          <c:showSerName val="0"/>
          <c:showPercent val="0"/>
          <c:showBubbleSize val="0"/>
        </c:dLbls>
        <c:gapWidth val="219"/>
        <c:overlap val="-27"/>
        <c:axId val="282151936"/>
        <c:axId val="282195072"/>
      </c:barChart>
      <c:catAx>
        <c:axId val="2821519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p>
        </c:txPr>
        <c:crossAx val="282195072"/>
        <c:crosses val="autoZero"/>
        <c:auto val="1"/>
        <c:lblAlgn val="ctr"/>
        <c:lblOffset val="100"/>
        <c:noMultiLvlLbl val="0"/>
      </c:catAx>
      <c:valAx>
        <c:axId val="282195072"/>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p>
        </c:txPr>
        <c:crossAx val="282151936"/>
        <c:crosses val="autoZero"/>
        <c:crossBetween val="between"/>
      </c:valAx>
      <c:spPr>
        <a:noFill/>
        <a:ln>
          <a:noFill/>
        </a:ln>
        <a:effectLst/>
      </c:spPr>
    </c:plotArea>
    <c:legend>
      <c:legendPos val="b"/>
      <c:layout>
        <c:manualLayout>
          <c:xMode val="edge"/>
          <c:yMode val="edge"/>
          <c:x val="0.399574037141064"/>
          <c:y val="0.860910718766003"/>
          <c:w val="0.200851753193428"/>
          <c:h val="0.0692507827617139"/>
        </c:manualLayout>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p>
      </c:txPr>
    </c:legend>
    <c:plotVisOnly val="1"/>
    <c:dispBlanksAs val="gap"/>
    <c:showDLblsOverMax val="0"/>
  </c:chart>
  <c:spPr>
    <a:noFill/>
    <a:ln w="6350" cap="flat" cmpd="sng" algn="ctr">
      <a:noFill/>
      <a:prstDash val="solid"/>
      <a:round/>
    </a:ln>
    <a:effectLst/>
  </c:spPr>
  <c:txPr>
    <a:bodyPr/>
    <a:lstStyle/>
    <a:p>
      <a:pPr>
        <a:defRPr lang="zh-CN"/>
      </a:pPr>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Sheet1!$D$559</c:f>
              <c:strCache>
                <c:ptCount val="1"/>
                <c:pt idx="0">
                  <c:v>预计销量</c:v>
                </c:pt>
              </c:strCache>
            </c:strRef>
          </c:tx>
          <c:spPr>
            <a:solidFill>
              <a:srgbClr val="00706B"/>
            </a:solidFill>
            <a:ln>
              <a:noFill/>
            </a:ln>
            <a:effectLst/>
          </c:spPr>
          <c:invertIfNegative val="0"/>
          <c:dLbls>
            <c:spPr>
              <a:noFill/>
              <a:ln>
                <a:noFill/>
              </a:ln>
              <a:effectLst/>
            </c:spPr>
            <c:txPr>
              <a:bodyPr rot="0" spcFirstLastPara="1" vertOverflow="ellipsis" vert="horz" wrap="square" lIns="38100" tIns="19050" rIns="38100" bIns="19050" anchor="ctr" anchorCtr="1"/>
              <a:lstStyle/>
              <a:p>
                <a:pPr>
                  <a:defRPr lang="zh-CN" sz="800" b="0" i="0" u="none" strike="noStrike" kern="1200" baseline="0">
                    <a:solidFill>
                      <a:schemeClr val="tx1">
                        <a:lumMod val="75000"/>
                        <a:lumOff val="25000"/>
                      </a:schemeClr>
                    </a:solidFill>
                    <a:latin typeface="Times New Roman" panose="02020603050405020304" charset="0"/>
                    <a:ea typeface="微软雅黑" panose="020B0503020204020204" pitchFamily="34" charset="-122"/>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numRef>
              <c:f>Sheet1!$E$558:$I$558</c:f>
              <c:numCache>
                <c:formatCode>General</c:formatCode>
                <c:ptCount val="5"/>
                <c:pt idx="0">
                  <c:v>2021</c:v>
                </c:pt>
                <c:pt idx="1">
                  <c:v>2022</c:v>
                </c:pt>
                <c:pt idx="2">
                  <c:v>2023</c:v>
                </c:pt>
                <c:pt idx="3">
                  <c:v>2024</c:v>
                </c:pt>
                <c:pt idx="4">
                  <c:v>2025</c:v>
                </c:pt>
              </c:numCache>
            </c:numRef>
          </c:cat>
          <c:val>
            <c:numRef>
              <c:f>Sheet1!$E$559:$I$559</c:f>
              <c:numCache>
                <c:formatCode>General</c:formatCode>
                <c:ptCount val="5"/>
                <c:pt idx="0">
                  <c:v>2568</c:v>
                </c:pt>
                <c:pt idx="1">
                  <c:v>2607</c:v>
                </c:pt>
                <c:pt idx="2">
                  <c:v>2646</c:v>
                </c:pt>
                <c:pt idx="3">
                  <c:v>2699</c:v>
                </c:pt>
                <c:pt idx="4">
                  <c:v>2753</c:v>
                </c:pt>
              </c:numCache>
            </c:numRef>
          </c:val>
        </c:ser>
        <c:dLbls>
          <c:showLegendKey val="0"/>
          <c:showVal val="1"/>
          <c:showCatName val="0"/>
          <c:showSerName val="0"/>
          <c:showPercent val="0"/>
          <c:showBubbleSize val="0"/>
        </c:dLbls>
        <c:gapWidth val="219"/>
        <c:overlap val="-27"/>
        <c:axId val="312731904"/>
        <c:axId val="313069952"/>
      </c:barChart>
      <c:catAx>
        <c:axId val="3127319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800" b="0" i="0" u="none" strike="noStrike" kern="1200" baseline="0">
                <a:solidFill>
                  <a:schemeClr val="tx1">
                    <a:lumMod val="65000"/>
                    <a:lumOff val="35000"/>
                  </a:schemeClr>
                </a:solidFill>
                <a:latin typeface="Times New Roman" panose="02020603050405020304" charset="0"/>
                <a:ea typeface="微软雅黑" panose="020B0503020204020204" pitchFamily="34" charset="-122"/>
                <a:cs typeface="+mn-cs"/>
              </a:defRPr>
            </a:pPr>
          </a:p>
        </c:txPr>
        <c:crossAx val="313069952"/>
        <c:crosses val="autoZero"/>
        <c:auto val="1"/>
        <c:lblAlgn val="ctr"/>
        <c:lblOffset val="100"/>
        <c:noMultiLvlLbl val="0"/>
      </c:catAx>
      <c:valAx>
        <c:axId val="313069952"/>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800" b="0" i="0" u="none" strike="noStrike" kern="1200" baseline="0">
                <a:solidFill>
                  <a:schemeClr val="tx1">
                    <a:lumMod val="65000"/>
                    <a:lumOff val="35000"/>
                  </a:schemeClr>
                </a:solidFill>
                <a:latin typeface="Times New Roman" panose="02020603050405020304" charset="0"/>
                <a:ea typeface="微软雅黑" panose="020B0503020204020204" pitchFamily="34" charset="-122"/>
                <a:cs typeface="+mn-cs"/>
              </a:defRPr>
            </a:pPr>
          </a:p>
        </c:txPr>
        <c:crossAx val="312731904"/>
        <c:crosses val="autoZero"/>
        <c:crossBetween val="between"/>
      </c:valAx>
      <c:spPr>
        <a:noFill/>
        <a:ln>
          <a:noFill/>
        </a:ln>
        <a:effectLst/>
      </c:spPr>
    </c:plotArea>
    <c:plotVisOnly val="1"/>
    <c:dispBlanksAs val="gap"/>
    <c:showDLblsOverMax val="0"/>
  </c:chart>
  <c:spPr>
    <a:noFill/>
    <a:ln w="6350" cap="flat" cmpd="sng" algn="ctr">
      <a:noFill/>
      <a:prstDash val="solid"/>
      <a:round/>
    </a:ln>
    <a:effectLst/>
  </c:spPr>
  <c:txPr>
    <a:bodyPr/>
    <a:lstStyle/>
    <a:p>
      <a:pPr>
        <a:defRPr lang="zh-CN" baseline="0">
          <a:latin typeface="Times New Roman" panose="02020603050405020304" charset="0"/>
          <a:ea typeface="微软雅黑" panose="020B0503020204020204" pitchFamily="34" charset="-122"/>
        </a:defRPr>
      </a:pPr>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Sheet1!$D$573</c:f>
              <c:strCache>
                <c:ptCount val="1"/>
                <c:pt idx="0">
                  <c:v>新能源汽车销量</c:v>
                </c:pt>
              </c:strCache>
            </c:strRef>
          </c:tx>
          <c:spPr>
            <a:solidFill>
              <a:srgbClr val="00706B"/>
            </a:solidFill>
            <a:ln>
              <a:noFill/>
            </a:ln>
            <a:effectLst/>
          </c:spPr>
          <c:invertIfNegative val="0"/>
          <c:dLbls>
            <c:spPr>
              <a:noFill/>
              <a:ln>
                <a:noFill/>
              </a:ln>
              <a:effectLst/>
            </c:spPr>
            <c:txPr>
              <a:bodyPr rot="0" spcFirstLastPara="1" vertOverflow="ellipsis" vert="horz" wrap="square" lIns="38100" tIns="19050" rIns="38100" bIns="19050" anchor="ctr" anchorCtr="1"/>
              <a:lstStyle/>
              <a:p>
                <a:pPr>
                  <a:defRPr lang="zh-CN" sz="800" b="0" i="0" u="none" strike="noStrike" kern="1200" baseline="0">
                    <a:solidFill>
                      <a:schemeClr val="tx1">
                        <a:lumMod val="75000"/>
                        <a:lumOff val="25000"/>
                      </a:schemeClr>
                    </a:solidFill>
                    <a:latin typeface="Times New Roman" panose="02020603050405020304" charset="0"/>
                    <a:ea typeface="微软雅黑" panose="020B0503020204020204" pitchFamily="34" charset="-122"/>
                    <a:cs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numRef>
              <c:f>Sheet1!$E$572:$I$572</c:f>
              <c:numCache>
                <c:formatCode>General</c:formatCode>
                <c:ptCount val="5"/>
                <c:pt idx="0">
                  <c:v>2021</c:v>
                </c:pt>
                <c:pt idx="1">
                  <c:v>2022</c:v>
                </c:pt>
                <c:pt idx="2">
                  <c:v>2023</c:v>
                </c:pt>
                <c:pt idx="3">
                  <c:v>2024</c:v>
                </c:pt>
                <c:pt idx="4">
                  <c:v>2025</c:v>
                </c:pt>
              </c:numCache>
            </c:numRef>
          </c:cat>
          <c:val>
            <c:numRef>
              <c:f>Sheet1!$E$573:$I$573</c:f>
              <c:numCache>
                <c:formatCode>General</c:formatCode>
                <c:ptCount val="5"/>
                <c:pt idx="0">
                  <c:v>205.4</c:v>
                </c:pt>
                <c:pt idx="1">
                  <c:v>286.7</c:v>
                </c:pt>
                <c:pt idx="2">
                  <c:v>370.4</c:v>
                </c:pt>
                <c:pt idx="3">
                  <c:v>458.8</c:v>
                </c:pt>
                <c:pt idx="4">
                  <c:v>550.6</c:v>
                </c:pt>
              </c:numCache>
            </c:numRef>
          </c:val>
        </c:ser>
        <c:ser>
          <c:idx val="1"/>
          <c:order val="1"/>
          <c:tx>
            <c:strRef>
              <c:f>Sheet1!$D$574</c:f>
              <c:strCache>
                <c:ptCount val="1"/>
                <c:pt idx="0">
                  <c:v>预计销量</c:v>
                </c:pt>
              </c:strCache>
            </c:strRef>
          </c:tx>
          <c:spPr>
            <a:solidFill>
              <a:srgbClr val="FFC000"/>
            </a:solidFill>
            <a:ln>
              <a:noFill/>
            </a:ln>
            <a:effectLst/>
          </c:spPr>
          <c:invertIfNegative val="0"/>
          <c:dLbls>
            <c:spPr>
              <a:noFill/>
              <a:ln>
                <a:noFill/>
              </a:ln>
              <a:effectLst/>
            </c:spPr>
            <c:txPr>
              <a:bodyPr rot="0" spcFirstLastPara="1" vertOverflow="ellipsis" vert="horz" wrap="square" lIns="38100" tIns="19050" rIns="38100" bIns="19050" anchor="ctr" anchorCtr="1"/>
              <a:lstStyle/>
              <a:p>
                <a:pPr>
                  <a:defRPr lang="zh-CN" sz="800" b="0" i="0" u="none" strike="noStrike" kern="1200" baseline="0">
                    <a:solidFill>
                      <a:schemeClr val="tx1">
                        <a:lumMod val="75000"/>
                        <a:lumOff val="25000"/>
                      </a:schemeClr>
                    </a:solidFill>
                    <a:latin typeface="Times New Roman" panose="02020603050405020304" charset="0"/>
                    <a:ea typeface="微软雅黑" panose="020B0503020204020204" pitchFamily="34" charset="-122"/>
                    <a:cs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numRef>
              <c:f>Sheet1!$E$572:$I$572</c:f>
              <c:numCache>
                <c:formatCode>General</c:formatCode>
                <c:ptCount val="5"/>
                <c:pt idx="0">
                  <c:v>2021</c:v>
                </c:pt>
                <c:pt idx="1">
                  <c:v>2022</c:v>
                </c:pt>
                <c:pt idx="2">
                  <c:v>2023</c:v>
                </c:pt>
                <c:pt idx="3">
                  <c:v>2024</c:v>
                </c:pt>
                <c:pt idx="4">
                  <c:v>2025</c:v>
                </c:pt>
              </c:numCache>
            </c:numRef>
          </c:cat>
          <c:val>
            <c:numRef>
              <c:f>Sheet1!$E$574:$I$574</c:f>
              <c:numCache>
                <c:formatCode>General</c:formatCode>
                <c:ptCount val="5"/>
                <c:pt idx="0">
                  <c:v>2568</c:v>
                </c:pt>
                <c:pt idx="1">
                  <c:v>2607</c:v>
                </c:pt>
                <c:pt idx="2">
                  <c:v>2646</c:v>
                </c:pt>
                <c:pt idx="3">
                  <c:v>2699</c:v>
                </c:pt>
                <c:pt idx="4">
                  <c:v>2753</c:v>
                </c:pt>
              </c:numCache>
            </c:numRef>
          </c:val>
        </c:ser>
        <c:dLbls>
          <c:showLegendKey val="0"/>
          <c:showVal val="1"/>
          <c:showCatName val="0"/>
          <c:showSerName val="0"/>
          <c:showPercent val="0"/>
          <c:showBubbleSize val="0"/>
        </c:dLbls>
        <c:gapWidth val="219"/>
        <c:overlap val="-27"/>
        <c:axId val="313501568"/>
        <c:axId val="313606528"/>
      </c:barChart>
      <c:lineChart>
        <c:grouping val="standard"/>
        <c:varyColors val="0"/>
        <c:ser>
          <c:idx val="2"/>
          <c:order val="2"/>
          <c:tx>
            <c:strRef>
              <c:f>Sheet1!$D$575</c:f>
              <c:strCache>
                <c:ptCount val="1"/>
                <c:pt idx="0">
                  <c:v>新能源汽车销量占比</c:v>
                </c:pt>
              </c:strCache>
            </c:strRef>
          </c:tx>
          <c:spPr>
            <a:ln w="28575" cap="rnd" cmpd="sng" algn="ctr">
              <a:solidFill>
                <a:schemeClr val="accent3"/>
              </a:solidFill>
              <a:prstDash val="solid"/>
              <a:round/>
            </a:ln>
            <a:effectLst/>
          </c:spPr>
          <c:marker>
            <c:symbol val="none"/>
          </c:marker>
          <c:dLbls>
            <c:dLbl>
              <c:idx val="0"/>
              <c:layout>
                <c:manualLayout>
                  <c:x val="-0.0041378813754122"/>
                  <c:y val="0"/>
                </c:manualLayout>
              </c:layout>
              <c:numFmt formatCode="General" sourceLinked="1"/>
              <c:spPr>
                <a:noFill/>
                <a:ln>
                  <a:noFill/>
                </a:ln>
                <a:effectLst/>
              </c:spPr>
              <c:txPr>
                <a:bodyPr rot="0" spcFirstLastPara="1" vertOverflow="ellipsis" vert="horz" wrap="square" lIns="38100" tIns="19050" rIns="38100" bIns="19050" anchor="ctr" anchorCtr="1"/>
                <a:lstStyle/>
                <a:p>
                  <a:pPr>
                    <a:defRPr lang="zh-CN" sz="800" b="0" i="0" u="none" strike="noStrike" kern="1200" baseline="0">
                      <a:solidFill>
                        <a:sysClr val="windowText" lastClr="000000"/>
                      </a:solidFill>
                      <a:latin typeface="Times New Roman" panose="02020603050405020304" charset="0"/>
                      <a:ea typeface="微软雅黑" panose="020B0503020204020204" pitchFamily="34" charset="-122"/>
                      <a:cs typeface="Times New Roman" panose="02020603050405020304" charset="0"/>
                    </a:defRPr>
                  </a:pPr>
                </a:p>
              </c:txPr>
              <c:dLblPos val="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827576275082442"/>
                  <c:y val="-6.32442083084217e-17"/>
                </c:manualLayout>
              </c:layout>
              <c:tx>
                <c:rich>
                  <a:bodyPr rot="0" spcFirstLastPara="1" vertOverflow="ellipsis" vert="horz" wrap="square" lIns="38100" tIns="19050" rIns="38100" bIns="19050" anchor="ctr" anchorCtr="1"/>
                  <a:lstStyle/>
                  <a:p>
                    <a:pPr>
                      <a:defRPr lang="zh-CN" sz="1200" b="0" i="0" u="none" strike="noStrike" kern="1200" baseline="0">
                        <a:solidFill>
                          <a:schemeClr val="bg1"/>
                        </a:solidFill>
                        <a:latin typeface="Times New Roman" panose="02020603050405020304" charset="0"/>
                        <a:ea typeface="微软雅黑" panose="020B0503020204020204" pitchFamily="34" charset="-122"/>
                        <a:cs typeface="Times New Roman" panose="02020603050405020304" charset="0"/>
                      </a:defRPr>
                    </a:pPr>
                    <a:r>
                      <a:rPr altLang="en-US" sz="800" b="0">
                        <a:solidFill>
                          <a:sysClr val="windowText" lastClr="000000"/>
                        </a:solidFill>
                      </a:rPr>
                      <a:t>11%</a:t>
                    </a:r>
                    <a:endParaRPr altLang="en-US" sz="800" b="0">
                      <a:solidFill>
                        <a:sysClr val="windowText" lastClr="000000"/>
                      </a:solidFill>
                    </a:endParaRPr>
                  </a:p>
                </c:rich>
              </c:tx>
              <c:numFmt formatCode="General" sourceLinked="1"/>
              <c:spPr>
                <a:noFill/>
                <a:ln>
                  <a:noFill/>
                </a:ln>
                <a:effectLst/>
              </c:spPr>
              <c:txPr>
                <a:bodyPr rot="0" spcFirstLastPara="1" vertOverflow="ellipsis" vert="horz" wrap="square" lIns="38100" tIns="19050" rIns="38100" bIns="19050" anchor="ctr" anchorCtr="1"/>
                <a:lstStyle/>
                <a:p>
                  <a:pPr>
                    <a:defRPr lang="zh-CN" sz="1200" b="0" i="0" u="none" strike="noStrike" kern="1200" baseline="0">
                      <a:solidFill>
                        <a:schemeClr val="bg1"/>
                      </a:solidFill>
                      <a:latin typeface="Times New Roman" panose="02020603050405020304" charset="0"/>
                      <a:ea typeface="微软雅黑" panose="020B0503020204020204" pitchFamily="34" charset="-122"/>
                      <a:cs typeface="Times New Roman" panose="02020603050405020304" charset="0"/>
                    </a:defRPr>
                  </a:pPr>
                </a:p>
              </c:txPr>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103447034385306"/>
                  <c:y val="0"/>
                </c:manualLayout>
              </c:layout>
              <c:tx>
                <c:rich>
                  <a:bodyPr rot="0" spcFirstLastPara="1" vertOverflow="ellipsis" vert="horz" wrap="square" lIns="38100" tIns="19050" rIns="38100" bIns="19050" anchor="ctr" anchorCtr="1"/>
                  <a:lstStyle/>
                  <a:p>
                    <a:pPr>
                      <a:defRPr lang="zh-CN" sz="1200" b="0" i="0" u="none" strike="noStrike" kern="1200" baseline="0">
                        <a:solidFill>
                          <a:schemeClr val="bg1"/>
                        </a:solidFill>
                        <a:latin typeface="Times New Roman" panose="02020603050405020304" charset="0"/>
                        <a:ea typeface="微软雅黑" panose="020B0503020204020204" pitchFamily="34" charset="-122"/>
                        <a:cs typeface="Times New Roman" panose="02020603050405020304" charset="0"/>
                      </a:defRPr>
                    </a:pPr>
                    <a:r>
                      <a:rPr altLang="en-US" sz="800" b="0">
                        <a:solidFill>
                          <a:sysClr val="windowText" lastClr="000000"/>
                        </a:solidFill>
                      </a:rPr>
                      <a:t>14%</a:t>
                    </a:r>
                    <a:endParaRPr altLang="en-US" sz="800" b="0">
                      <a:solidFill>
                        <a:sysClr val="windowText" lastClr="000000"/>
                      </a:solidFill>
                    </a:endParaRPr>
                  </a:p>
                </c:rich>
              </c:tx>
              <c:numFmt formatCode="General" sourceLinked="1"/>
              <c:spPr>
                <a:noFill/>
                <a:ln>
                  <a:noFill/>
                </a:ln>
                <a:effectLst/>
              </c:spPr>
              <c:txPr>
                <a:bodyPr rot="0" spcFirstLastPara="1" vertOverflow="ellipsis" vert="horz" wrap="square" lIns="38100" tIns="19050" rIns="38100" bIns="19050" anchor="ctr" anchorCtr="1"/>
                <a:lstStyle/>
                <a:p>
                  <a:pPr>
                    <a:defRPr lang="zh-CN" sz="1200" b="0" i="0" u="none" strike="noStrike" kern="1200" baseline="0">
                      <a:solidFill>
                        <a:schemeClr val="bg1"/>
                      </a:solidFill>
                      <a:latin typeface="Times New Roman" panose="02020603050405020304" charset="0"/>
                      <a:ea typeface="微软雅黑" panose="020B0503020204020204" pitchFamily="34" charset="-122"/>
                      <a:cs typeface="Times New Roman" panose="02020603050405020304" charset="0"/>
                    </a:defRPr>
                  </a:pPr>
                </a:p>
              </c:txPr>
              <c:dLblPos val="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82757627508244"/>
                  <c:y val="0"/>
                </c:manualLayout>
              </c:layout>
              <c:numFmt formatCode="General" sourceLinked="1"/>
              <c:spPr>
                <a:noFill/>
                <a:ln>
                  <a:noFill/>
                </a:ln>
                <a:effectLst/>
              </c:spPr>
              <c:txPr>
                <a:bodyPr rot="0" spcFirstLastPara="1" vertOverflow="ellipsis" vert="horz" wrap="square" lIns="38100" tIns="19050" rIns="38100" bIns="19050" anchor="ctr" anchorCtr="1"/>
                <a:lstStyle/>
                <a:p>
                  <a:pPr>
                    <a:defRPr lang="zh-CN" sz="800" b="0" i="0" u="none" strike="noStrike" kern="1200" baseline="0">
                      <a:solidFill>
                        <a:sysClr val="windowText" lastClr="000000"/>
                      </a:solidFill>
                      <a:latin typeface="Times New Roman" panose="02020603050405020304" charset="0"/>
                      <a:ea typeface="微软雅黑" panose="020B0503020204020204" pitchFamily="34" charset="-122"/>
                      <a:cs typeface="Times New Roman" panose="02020603050405020304" charset="0"/>
                    </a:defRPr>
                  </a:pPr>
                </a:p>
              </c:txPr>
              <c:dLblPos val="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827576275082447"/>
                  <c:y val="0"/>
                </c:manualLayout>
              </c:layout>
              <c:numFmt formatCode="General" sourceLinked="1"/>
              <c:spPr>
                <a:noFill/>
                <a:ln>
                  <a:noFill/>
                </a:ln>
                <a:effectLst/>
              </c:spPr>
              <c:txPr>
                <a:bodyPr rot="0" spcFirstLastPara="1" vertOverflow="ellipsis" vert="horz" wrap="square" lIns="38100" tIns="19050" rIns="38100" bIns="19050" anchor="ctr" anchorCtr="1"/>
                <a:lstStyle/>
                <a:p>
                  <a:pPr>
                    <a:defRPr lang="zh-CN" sz="800" b="0" i="0" u="none" strike="noStrike" kern="1200" baseline="0">
                      <a:solidFill>
                        <a:sysClr val="windowText" lastClr="000000"/>
                      </a:solidFill>
                      <a:latin typeface="Times New Roman" panose="02020603050405020304" charset="0"/>
                      <a:ea typeface="微软雅黑" panose="020B0503020204020204" pitchFamily="34" charset="-122"/>
                      <a:cs typeface="Times New Roman" panose="02020603050405020304" charset="0"/>
                    </a:defRPr>
                  </a:pPr>
                </a:p>
              </c:txPr>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lstStyle/>
              <a:p>
                <a:pPr>
                  <a:defRPr lang="zh-CN" sz="800" b="0" i="0" u="none" strike="noStrike" kern="1200" baseline="0">
                    <a:solidFill>
                      <a:schemeClr val="bg1"/>
                    </a:solidFill>
                    <a:latin typeface="Times New Roman" panose="02020603050405020304" charset="0"/>
                    <a:ea typeface="微软雅黑" panose="020B0503020204020204" pitchFamily="34" charset="-122"/>
                    <a:cs typeface="Times New Roman" panose="02020603050405020304" charset="0"/>
                  </a:defRPr>
                </a:pPr>
              </a:p>
            </c:txPr>
            <c:dLblPos val="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numRef>
              <c:f>Sheet1!$E$572:$I$572</c:f>
              <c:numCache>
                <c:formatCode>General</c:formatCode>
                <c:ptCount val="5"/>
                <c:pt idx="0">
                  <c:v>2021</c:v>
                </c:pt>
                <c:pt idx="1">
                  <c:v>2022</c:v>
                </c:pt>
                <c:pt idx="2">
                  <c:v>2023</c:v>
                </c:pt>
                <c:pt idx="3">
                  <c:v>2024</c:v>
                </c:pt>
                <c:pt idx="4">
                  <c:v>2025</c:v>
                </c:pt>
              </c:numCache>
            </c:numRef>
          </c:cat>
          <c:val>
            <c:numRef>
              <c:f>Sheet1!$E$575:$I$575</c:f>
              <c:numCache>
                <c:formatCode>0%</c:formatCode>
                <c:ptCount val="5"/>
                <c:pt idx="0">
                  <c:v>0.08</c:v>
                </c:pt>
                <c:pt idx="1">
                  <c:v>0.11</c:v>
                </c:pt>
                <c:pt idx="2">
                  <c:v>0.14</c:v>
                </c:pt>
                <c:pt idx="3">
                  <c:v>0.17</c:v>
                </c:pt>
                <c:pt idx="4">
                  <c:v>0.2</c:v>
                </c:pt>
              </c:numCache>
            </c:numRef>
          </c:val>
          <c:smooth val="0"/>
        </c:ser>
        <c:dLbls>
          <c:showLegendKey val="0"/>
          <c:showVal val="1"/>
          <c:showCatName val="0"/>
          <c:showSerName val="0"/>
          <c:showPercent val="0"/>
          <c:showBubbleSize val="0"/>
        </c:dLbls>
        <c:marker val="0"/>
        <c:smooth val="0"/>
        <c:axId val="313608064"/>
        <c:axId val="313609600"/>
      </c:lineChart>
      <c:catAx>
        <c:axId val="3135015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800" b="0" i="0" u="none" strike="noStrike" kern="1200" baseline="0">
                <a:solidFill>
                  <a:schemeClr val="tx1">
                    <a:lumMod val="65000"/>
                    <a:lumOff val="35000"/>
                  </a:schemeClr>
                </a:solidFill>
                <a:latin typeface="Times New Roman" panose="02020603050405020304" charset="0"/>
                <a:ea typeface="微软雅黑" panose="020B0503020204020204" pitchFamily="34" charset="-122"/>
                <a:cs typeface="Times New Roman" panose="02020603050405020304" charset="0"/>
              </a:defRPr>
            </a:pPr>
          </a:p>
        </c:txPr>
        <c:crossAx val="313606528"/>
        <c:crosses val="autoZero"/>
        <c:auto val="1"/>
        <c:lblAlgn val="ctr"/>
        <c:lblOffset val="100"/>
        <c:noMultiLvlLbl val="0"/>
      </c:catAx>
      <c:valAx>
        <c:axId val="3136065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800" b="0" i="0" u="none" strike="noStrike" kern="1200" baseline="0">
                <a:solidFill>
                  <a:schemeClr val="tx1">
                    <a:lumMod val="65000"/>
                    <a:lumOff val="35000"/>
                  </a:schemeClr>
                </a:solidFill>
                <a:latin typeface="Times New Roman" panose="02020603050405020304" charset="0"/>
                <a:ea typeface="微软雅黑" panose="020B0503020204020204" pitchFamily="34" charset="-122"/>
                <a:cs typeface="Times New Roman" panose="02020603050405020304" charset="0"/>
              </a:defRPr>
            </a:pPr>
          </a:p>
        </c:txPr>
        <c:crossAx val="313501568"/>
        <c:crosses val="autoZero"/>
        <c:crossBetween val="between"/>
      </c:valAx>
      <c:catAx>
        <c:axId val="313608064"/>
        <c:scaling>
          <c:orientation val="minMax"/>
        </c:scaling>
        <c:delete val="1"/>
        <c:axPos val="b"/>
        <c:numFmt formatCode="General" sourceLinked="1"/>
        <c:majorTickMark val="none"/>
        <c:minorTickMark val="none"/>
        <c:tickLblPos val="nextTo"/>
        <c:txPr>
          <a:bodyPr rot="-60000000" spcFirstLastPara="0" vertOverflow="ellipsis" vert="horz" wrap="square" anchor="ctr" anchorCtr="1"/>
          <a:lstStyle/>
          <a:p>
            <a:pPr>
              <a:defRPr lang="zh-CN" sz="1200" b="0" i="0" u="none" strike="noStrike" kern="1200" baseline="0">
                <a:solidFill>
                  <a:schemeClr val="tx1"/>
                </a:solidFill>
                <a:latin typeface="Times New Roman" panose="02020603050405020304" charset="0"/>
                <a:ea typeface="微软雅黑" panose="020B0503020204020204" pitchFamily="34" charset="-122"/>
                <a:cs typeface="+mn-cs"/>
              </a:defRPr>
            </a:pPr>
          </a:p>
        </c:txPr>
        <c:crossAx val="313609600"/>
        <c:crosses val="autoZero"/>
        <c:auto val="1"/>
        <c:lblAlgn val="ctr"/>
        <c:lblOffset val="100"/>
        <c:noMultiLvlLbl val="0"/>
      </c:catAx>
      <c:valAx>
        <c:axId val="313609600"/>
        <c:scaling>
          <c:orientation val="minMax"/>
        </c:scaling>
        <c:delete val="0"/>
        <c:axPos val="r"/>
        <c:numFmt formatCode="0%"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800" b="0" i="0" u="none" strike="noStrike" kern="1200" baseline="0">
                <a:solidFill>
                  <a:schemeClr val="tx1">
                    <a:lumMod val="65000"/>
                    <a:lumOff val="35000"/>
                  </a:schemeClr>
                </a:solidFill>
                <a:latin typeface="Times New Roman" panose="02020603050405020304" charset="0"/>
                <a:ea typeface="微软雅黑" panose="020B0503020204020204" pitchFamily="34" charset="-122"/>
                <a:cs typeface="Times New Roman" panose="02020603050405020304" charset="0"/>
              </a:defRPr>
            </a:pPr>
          </a:p>
        </c:txPr>
        <c:crossAx val="313608064"/>
        <c:crosses val="max"/>
        <c:crossBetween val="between"/>
      </c:valAx>
      <c:spPr>
        <a:noFill/>
        <a:ln>
          <a:noFill/>
        </a:ln>
        <a:effectLst/>
      </c:spPr>
    </c:plotArea>
    <c:legend>
      <c:legendPos val="b"/>
      <c:legendEntry>
        <c:idx val="0"/>
        <c:txPr>
          <a:bodyPr rot="0" spcFirstLastPara="1" vertOverflow="ellipsis" vert="horz" wrap="square" anchor="ctr" anchorCtr="1"/>
          <a:lstStyle/>
          <a:p>
            <a:pPr>
              <a:defRPr lang="zh-CN" sz="800" b="0" i="0" u="none" strike="noStrike" kern="1200" baseline="0">
                <a:solidFill>
                  <a:schemeClr val="tx1">
                    <a:lumMod val="65000"/>
                    <a:lumOff val="35000"/>
                  </a:schemeClr>
                </a:solidFill>
                <a:latin typeface="+mn-ea"/>
                <a:ea typeface="+mn-ea"/>
                <a:cs typeface="+mn-cs"/>
              </a:defRPr>
            </a:pPr>
          </a:p>
        </c:txPr>
      </c:legendEntry>
      <c:legendEntry>
        <c:idx val="1"/>
        <c:txPr>
          <a:bodyPr rot="0" spcFirstLastPara="1" vertOverflow="ellipsis" vert="horz" wrap="square" anchor="ctr" anchorCtr="1"/>
          <a:lstStyle/>
          <a:p>
            <a:pPr>
              <a:defRPr lang="zh-CN" sz="800" b="0" i="0" u="none" strike="noStrike" kern="1200" baseline="0">
                <a:solidFill>
                  <a:schemeClr val="tx1">
                    <a:lumMod val="65000"/>
                    <a:lumOff val="35000"/>
                  </a:schemeClr>
                </a:solidFill>
                <a:latin typeface="+mn-ea"/>
                <a:ea typeface="+mn-ea"/>
                <a:cs typeface="+mn-cs"/>
              </a:defRPr>
            </a:pPr>
          </a:p>
        </c:txPr>
      </c:legendEntry>
      <c:legendEntry>
        <c:idx val="2"/>
        <c:txPr>
          <a:bodyPr rot="0" spcFirstLastPara="1" vertOverflow="ellipsis" vert="horz" wrap="square" anchor="ctr" anchorCtr="1"/>
          <a:lstStyle/>
          <a:p>
            <a:pPr>
              <a:defRPr lang="zh-CN" sz="800" b="0" i="0" u="none" strike="noStrike" kern="1200" baseline="0">
                <a:solidFill>
                  <a:schemeClr val="tx1">
                    <a:lumMod val="65000"/>
                    <a:lumOff val="35000"/>
                  </a:schemeClr>
                </a:solidFill>
                <a:latin typeface="+mn-ea"/>
                <a:ea typeface="+mn-ea"/>
                <a:cs typeface="+mn-cs"/>
              </a:defRPr>
            </a:pPr>
          </a:p>
        </c:txPr>
      </c:legendEntry>
      <c:layout/>
      <c:overlay val="0"/>
      <c:spPr>
        <a:noFill/>
        <a:ln>
          <a:noFill/>
        </a:ln>
        <a:effectLst/>
      </c:spPr>
      <c:txPr>
        <a:bodyPr rot="0" spcFirstLastPara="1" vertOverflow="ellipsis" vert="horz" wrap="square" anchor="ctr" anchorCtr="1"/>
        <a:lstStyle/>
        <a:p>
          <a:pPr>
            <a:defRPr lang="zh-CN" sz="1200" b="0" i="0" u="none" strike="noStrike" kern="1200" baseline="0">
              <a:solidFill>
                <a:schemeClr val="tx1">
                  <a:lumMod val="65000"/>
                  <a:lumOff val="35000"/>
                </a:schemeClr>
              </a:solidFill>
              <a:latin typeface="Times New Roman" panose="02020603050405020304" charset="0"/>
              <a:ea typeface="微软雅黑" panose="020B0503020204020204" pitchFamily="34" charset="-122"/>
              <a:cs typeface="+mn-cs"/>
            </a:defRPr>
          </a:pPr>
        </a:p>
      </c:txPr>
    </c:legend>
    <c:plotVisOnly val="1"/>
    <c:dispBlanksAs val="gap"/>
    <c:showDLblsOverMax val="0"/>
  </c:chart>
  <c:spPr>
    <a:noFill/>
    <a:ln w="6350" cap="flat" cmpd="sng" algn="ctr">
      <a:noFill/>
      <a:prstDash val="solid"/>
      <a:round/>
    </a:ln>
    <a:effectLst/>
  </c:spPr>
  <c:txPr>
    <a:bodyPr/>
    <a:lstStyle/>
    <a:p>
      <a:pPr>
        <a:defRPr lang="zh-CN" sz="1200" baseline="0">
          <a:latin typeface="Times New Roman" panose="02020603050405020304" charset="0"/>
          <a:ea typeface="微软雅黑" panose="020B0503020204020204" pitchFamily="34" charset="-122"/>
        </a:defRPr>
      </a:pPr>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
        <c:rich>
          <a:bodyPr/>
          <a:lstStyle/>
          <a:p>
            <a:pPr>
              <a:defRPr/>
            </a:pPr>
          </a:p>
        </c:rich>
      </c:tx>
    </c:title>
    <c:autoTitleDeleted val="0"/>
    <c:plotArea>
      <c:layout/>
      <c:barChart>
        <c:barDir val="col"/>
        <c:grouping val="clustered"/>
        <c:varyColors val="0"/>
        <c:ser>
          <c:idx val="0"/>
          <c:order val="0"/>
          <c:tx>
            <c:strRef>
              <c:f>'[新建 Microsoft Excel 工作表.xlsx]Sheet1'!$A$2</c:f>
              <c:strCache>
                <c:ptCount val="1"/>
                <c:pt idx="0">
                  <c:v>陕西民用汽车拥有量(万辆)</c:v>
                </c:pt>
              </c:strCache>
            </c:strRef>
          </c:tx>
          <c:spPr>
            <a:solidFill>
              <a:srgbClr val="FFC000"/>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numRef>
              <c:f>'[新建 Microsoft Excel 工作表.xlsx]Sheet1'!$B$1:$L$1</c:f>
              <c:numCache>
                <c:formatCode>General</c:formatCode>
                <c:ptCount val="11"/>
                <c:pt idx="0">
                  <c:v>2020</c:v>
                </c:pt>
                <c:pt idx="1">
                  <c:v>2019</c:v>
                </c:pt>
                <c:pt idx="2">
                  <c:v>2018</c:v>
                </c:pt>
                <c:pt idx="3">
                  <c:v>2017</c:v>
                </c:pt>
                <c:pt idx="4">
                  <c:v>2016</c:v>
                </c:pt>
                <c:pt idx="5">
                  <c:v>2015</c:v>
                </c:pt>
                <c:pt idx="6">
                  <c:v>2014</c:v>
                </c:pt>
                <c:pt idx="7">
                  <c:v>2013</c:v>
                </c:pt>
                <c:pt idx="8">
                  <c:v>2012</c:v>
                </c:pt>
                <c:pt idx="9">
                  <c:v>2011</c:v>
                </c:pt>
                <c:pt idx="10">
                  <c:v>2010</c:v>
                </c:pt>
              </c:numCache>
            </c:numRef>
          </c:cat>
          <c:val>
            <c:numRef>
              <c:f>'[新建 Microsoft Excel 工作表.xlsx]Sheet1'!$B$2:$L$2</c:f>
              <c:numCache>
                <c:formatCode>General</c:formatCode>
                <c:ptCount val="11"/>
                <c:pt idx="0">
                  <c:v>739</c:v>
                </c:pt>
                <c:pt idx="1">
                  <c:v>682</c:v>
                </c:pt>
                <c:pt idx="2">
                  <c:v>616</c:v>
                </c:pt>
                <c:pt idx="3">
                  <c:v>549</c:v>
                </c:pt>
                <c:pt idx="4">
                  <c:v>491</c:v>
                </c:pt>
                <c:pt idx="5">
                  <c:v>438</c:v>
                </c:pt>
                <c:pt idx="6">
                  <c:v>384</c:v>
                </c:pt>
                <c:pt idx="7">
                  <c:v>336</c:v>
                </c:pt>
                <c:pt idx="8">
                  <c:v>284</c:v>
                </c:pt>
                <c:pt idx="9">
                  <c:v>236</c:v>
                </c:pt>
                <c:pt idx="10">
                  <c:v>190</c:v>
                </c:pt>
              </c:numCache>
            </c:numRef>
          </c:val>
        </c:ser>
        <c:ser>
          <c:idx val="1"/>
          <c:order val="1"/>
          <c:tx>
            <c:strRef>
              <c:f>'[新建 Microsoft Excel 工作表.xlsx]Sheet1'!$A$3</c:f>
              <c:strCache>
                <c:ptCount val="1"/>
                <c:pt idx="0">
                  <c:v>全国民用汽车拥有量(万辆)</c:v>
                </c:pt>
              </c:strCache>
            </c:strRef>
          </c:tx>
          <c:spPr>
            <a:solidFill>
              <a:srgbClr val="00706B"/>
            </a:solidFill>
            <a:ln>
              <a:noFill/>
            </a:ln>
            <a:effectLst/>
          </c:spPr>
          <c:invertIfNegative val="0"/>
          <c:dLbls>
            <c:dLbl>
              <c:idx val="3"/>
              <c:layout>
                <c:manualLayout>
                  <c:x val="0.00466798926362469"/>
                  <c:y val="-0.039850560398505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
                  <c:y val="0.019925280199252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numRef>
              <c:f>'[新建 Microsoft Excel 工作表.xlsx]Sheet1'!$B$1:$L$1</c:f>
              <c:numCache>
                <c:formatCode>General</c:formatCode>
                <c:ptCount val="11"/>
                <c:pt idx="0">
                  <c:v>2020</c:v>
                </c:pt>
                <c:pt idx="1">
                  <c:v>2019</c:v>
                </c:pt>
                <c:pt idx="2">
                  <c:v>2018</c:v>
                </c:pt>
                <c:pt idx="3">
                  <c:v>2017</c:v>
                </c:pt>
                <c:pt idx="4">
                  <c:v>2016</c:v>
                </c:pt>
                <c:pt idx="5">
                  <c:v>2015</c:v>
                </c:pt>
                <c:pt idx="6">
                  <c:v>2014</c:v>
                </c:pt>
                <c:pt idx="7">
                  <c:v>2013</c:v>
                </c:pt>
                <c:pt idx="8">
                  <c:v>2012</c:v>
                </c:pt>
                <c:pt idx="9">
                  <c:v>2011</c:v>
                </c:pt>
                <c:pt idx="10">
                  <c:v>2010</c:v>
                </c:pt>
              </c:numCache>
            </c:numRef>
          </c:cat>
          <c:val>
            <c:numRef>
              <c:f>'[新建 Microsoft Excel 工作表.xlsx]Sheet1'!$B$3:$L$3</c:f>
              <c:numCache>
                <c:formatCode>General</c:formatCode>
                <c:ptCount val="11"/>
                <c:pt idx="0">
                  <c:v>28100</c:v>
                </c:pt>
                <c:pt idx="1">
                  <c:v>25387</c:v>
                </c:pt>
                <c:pt idx="2">
                  <c:v>23231</c:v>
                </c:pt>
                <c:pt idx="3">
                  <c:v>20906</c:v>
                </c:pt>
                <c:pt idx="4">
                  <c:v>18574</c:v>
                </c:pt>
                <c:pt idx="5">
                  <c:v>16284</c:v>
                </c:pt>
                <c:pt idx="6">
                  <c:v>14598</c:v>
                </c:pt>
                <c:pt idx="7">
                  <c:v>12670</c:v>
                </c:pt>
                <c:pt idx="8">
                  <c:v>10933</c:v>
                </c:pt>
                <c:pt idx="9">
                  <c:v>9356</c:v>
                </c:pt>
                <c:pt idx="10">
                  <c:v>7801</c:v>
                </c:pt>
              </c:numCache>
            </c:numRef>
          </c:val>
        </c:ser>
        <c:dLbls>
          <c:showLegendKey val="0"/>
          <c:showVal val="1"/>
          <c:showCatName val="0"/>
          <c:showSerName val="0"/>
          <c:showPercent val="0"/>
          <c:showBubbleSize val="0"/>
        </c:dLbls>
        <c:gapWidth val="219"/>
        <c:overlap val="-27"/>
        <c:axId val="316462208"/>
        <c:axId val="316464128"/>
      </c:barChart>
      <c:lineChart>
        <c:grouping val="standard"/>
        <c:varyColors val="0"/>
        <c:ser>
          <c:idx val="2"/>
          <c:order val="2"/>
          <c:tx>
            <c:strRef>
              <c:f>'[新建 Microsoft Excel 工作表.xlsx]Sheet1'!$A$4</c:f>
              <c:strCache>
                <c:ptCount val="1"/>
                <c:pt idx="0">
                  <c:v>占比（%）</c:v>
                </c:pt>
              </c:strCache>
            </c:strRef>
          </c:tx>
          <c:spPr>
            <a:ln w="28575" cap="rnd" cmpd="sng" algn="ctr">
              <a:solidFill>
                <a:srgbClr val="A5A5A5"/>
              </a:solidFill>
              <a:prstDash val="solid"/>
              <a:round/>
            </a:ln>
            <a:effectLst/>
          </c:spPr>
          <c:marker>
            <c:symbol val="none"/>
          </c:marker>
          <c:dLbls>
            <c:dLbl>
              <c:idx val="1"/>
              <c:layout>
                <c:manualLayout>
                  <c:x val="-0.00466798926362469"/>
                  <c:y val="0.029887920298879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dLblPos val="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numRef>
              <c:f>'[新建 Microsoft Excel 工作表.xlsx]Sheet1'!$B$1:$L$1</c:f>
              <c:numCache>
                <c:formatCode>General</c:formatCode>
                <c:ptCount val="11"/>
                <c:pt idx="0">
                  <c:v>2020</c:v>
                </c:pt>
                <c:pt idx="1">
                  <c:v>2019</c:v>
                </c:pt>
                <c:pt idx="2">
                  <c:v>2018</c:v>
                </c:pt>
                <c:pt idx="3">
                  <c:v>2017</c:v>
                </c:pt>
                <c:pt idx="4">
                  <c:v>2016</c:v>
                </c:pt>
                <c:pt idx="5">
                  <c:v>2015</c:v>
                </c:pt>
                <c:pt idx="6">
                  <c:v>2014</c:v>
                </c:pt>
                <c:pt idx="7">
                  <c:v>2013</c:v>
                </c:pt>
                <c:pt idx="8">
                  <c:v>2012</c:v>
                </c:pt>
                <c:pt idx="9">
                  <c:v>2011</c:v>
                </c:pt>
                <c:pt idx="10">
                  <c:v>2010</c:v>
                </c:pt>
              </c:numCache>
            </c:numRef>
          </c:cat>
          <c:val>
            <c:numRef>
              <c:f>'[新建 Microsoft Excel 工作表.xlsx]Sheet1'!$B$4:$L$4</c:f>
              <c:numCache>
                <c:formatCode>General</c:formatCode>
                <c:ptCount val="11"/>
                <c:pt idx="0">
                  <c:v>2.63</c:v>
                </c:pt>
                <c:pt idx="1">
                  <c:v>2.686</c:v>
                </c:pt>
                <c:pt idx="2">
                  <c:v>2.652</c:v>
                </c:pt>
                <c:pt idx="3">
                  <c:v>2.626</c:v>
                </c:pt>
                <c:pt idx="4">
                  <c:v>2.643</c:v>
                </c:pt>
                <c:pt idx="5">
                  <c:v>2.689</c:v>
                </c:pt>
                <c:pt idx="6">
                  <c:v>2.631</c:v>
                </c:pt>
                <c:pt idx="7">
                  <c:v>2.652</c:v>
                </c:pt>
                <c:pt idx="8">
                  <c:v>2.598</c:v>
                </c:pt>
                <c:pt idx="9">
                  <c:v>2.522</c:v>
                </c:pt>
                <c:pt idx="10">
                  <c:v>2.436</c:v>
                </c:pt>
              </c:numCache>
            </c:numRef>
          </c:val>
          <c:smooth val="0"/>
        </c:ser>
        <c:dLbls>
          <c:showLegendKey val="0"/>
          <c:showVal val="1"/>
          <c:showCatName val="0"/>
          <c:showSerName val="0"/>
          <c:showPercent val="0"/>
          <c:showBubbleSize val="0"/>
        </c:dLbls>
        <c:marker val="0"/>
        <c:smooth val="0"/>
        <c:axId val="316261120"/>
        <c:axId val="316263040"/>
      </c:lineChart>
      <c:catAx>
        <c:axId val="3162611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316263040"/>
        <c:crosses val="autoZero"/>
        <c:auto val="1"/>
        <c:lblAlgn val="ctr"/>
        <c:lblOffset val="100"/>
        <c:noMultiLvlLbl val="0"/>
      </c:catAx>
      <c:valAx>
        <c:axId val="316263040"/>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316261120"/>
        <c:crosses val="autoZero"/>
        <c:crossBetween val="between"/>
      </c:valAx>
      <c:catAx>
        <c:axId val="316462208"/>
        <c:scaling>
          <c:orientation val="minMax"/>
        </c:scaling>
        <c:delete val="1"/>
        <c:axPos val="b"/>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316464128"/>
        <c:crosses val="autoZero"/>
        <c:auto val="1"/>
        <c:lblAlgn val="ctr"/>
        <c:lblOffset val="100"/>
        <c:noMultiLvlLbl val="0"/>
      </c:catAx>
      <c:valAx>
        <c:axId val="316464128"/>
        <c:scaling>
          <c:orientation val="minMax"/>
        </c:scaling>
        <c:delete val="0"/>
        <c:axPos val="r"/>
        <c:numFmt formatCode="General" sourceLinked="1"/>
        <c:majorTickMark val="out"/>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316462208"/>
        <c:crosses val="max"/>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16183977497656"/>
          <c:y val="0.0177777777777778"/>
        </c:manualLayout>
      </c:layout>
      <c:overlay val="0"/>
      <c:spPr>
        <a:noFill/>
        <a:ln>
          <a:noFill/>
        </a:ln>
        <a:effectLst/>
      </c:spPr>
      <c:tx>
        <c:rich>
          <a:bodyPr/>
          <a:lstStyle/>
          <a:p>
            <a:pPr>
              <a:defRPr/>
            </a:pPr>
          </a:p>
        </c:rich>
      </c:tx>
    </c:title>
    <c:autoTitleDeleted val="0"/>
    <c:plotArea>
      <c:layout/>
      <c:barChart>
        <c:barDir val="col"/>
        <c:grouping val="clustered"/>
        <c:varyColors val="0"/>
        <c:ser>
          <c:idx val="0"/>
          <c:order val="0"/>
          <c:tx>
            <c:strRef>
              <c:f>'[新建 Microsoft Excel 工作表 (2).xlsx]Sheet1'!$A$2</c:f>
              <c:strCache>
                <c:ptCount val="1"/>
                <c:pt idx="0">
                  <c:v>陕西民用汽车新注册量(万辆)</c:v>
                </c:pt>
              </c:strCache>
            </c:strRef>
          </c:tx>
          <c:spPr>
            <a:solidFill>
              <a:srgbClr val="FFC000"/>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numRef>
              <c:f>'[新建 Microsoft Excel 工作表 (2).xlsx]Sheet1'!$B$1:$K$1</c:f>
              <c:numCache>
                <c:formatCode>General</c:formatCode>
                <c:ptCount val="10"/>
                <c:pt idx="0">
                  <c:v>2019</c:v>
                </c:pt>
                <c:pt idx="1">
                  <c:v>2018</c:v>
                </c:pt>
                <c:pt idx="2">
                  <c:v>2017</c:v>
                </c:pt>
                <c:pt idx="3">
                  <c:v>2016</c:v>
                </c:pt>
                <c:pt idx="4">
                  <c:v>2015</c:v>
                </c:pt>
                <c:pt idx="5">
                  <c:v>2014</c:v>
                </c:pt>
                <c:pt idx="6">
                  <c:v>2013</c:v>
                </c:pt>
                <c:pt idx="7">
                  <c:v>2012</c:v>
                </c:pt>
                <c:pt idx="8">
                  <c:v>2011</c:v>
                </c:pt>
                <c:pt idx="9">
                  <c:v>2010</c:v>
                </c:pt>
              </c:numCache>
            </c:numRef>
          </c:cat>
          <c:val>
            <c:numRef>
              <c:f>'[新建 Microsoft Excel 工作表 (2).xlsx]Sheet1'!$B$2:$K$2</c:f>
              <c:numCache>
                <c:formatCode>General</c:formatCode>
                <c:ptCount val="10"/>
                <c:pt idx="0">
                  <c:v>77.46</c:v>
                </c:pt>
                <c:pt idx="1">
                  <c:v>77.39</c:v>
                </c:pt>
                <c:pt idx="2">
                  <c:v>74.35</c:v>
                </c:pt>
                <c:pt idx="3">
                  <c:v>70.56</c:v>
                </c:pt>
                <c:pt idx="4">
                  <c:v>62.52</c:v>
                </c:pt>
                <c:pt idx="5">
                  <c:v>63.75</c:v>
                </c:pt>
                <c:pt idx="6">
                  <c:v>59.5</c:v>
                </c:pt>
                <c:pt idx="7">
                  <c:v>53.78</c:v>
                </c:pt>
                <c:pt idx="8">
                  <c:v>49.6</c:v>
                </c:pt>
                <c:pt idx="9">
                  <c:v>47.42</c:v>
                </c:pt>
              </c:numCache>
            </c:numRef>
          </c:val>
        </c:ser>
        <c:ser>
          <c:idx val="1"/>
          <c:order val="1"/>
          <c:tx>
            <c:strRef>
              <c:f>'[新建 Microsoft Excel 工作表 (2).xlsx]Sheet1'!$A$3</c:f>
              <c:strCache>
                <c:ptCount val="1"/>
                <c:pt idx="0">
                  <c:v>全国汽车销量(万辆)</c:v>
                </c:pt>
              </c:strCache>
            </c:strRef>
          </c:tx>
          <c:spPr>
            <a:solidFill>
              <a:srgbClr val="00706B"/>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numRef>
              <c:f>'[新建 Microsoft Excel 工作表 (2).xlsx]Sheet1'!$B$1:$K$1</c:f>
              <c:numCache>
                <c:formatCode>General</c:formatCode>
                <c:ptCount val="10"/>
                <c:pt idx="0">
                  <c:v>2019</c:v>
                </c:pt>
                <c:pt idx="1">
                  <c:v>2018</c:v>
                </c:pt>
                <c:pt idx="2">
                  <c:v>2017</c:v>
                </c:pt>
                <c:pt idx="3">
                  <c:v>2016</c:v>
                </c:pt>
                <c:pt idx="4">
                  <c:v>2015</c:v>
                </c:pt>
                <c:pt idx="5">
                  <c:v>2014</c:v>
                </c:pt>
                <c:pt idx="6">
                  <c:v>2013</c:v>
                </c:pt>
                <c:pt idx="7">
                  <c:v>2012</c:v>
                </c:pt>
                <c:pt idx="8">
                  <c:v>2011</c:v>
                </c:pt>
                <c:pt idx="9">
                  <c:v>2010</c:v>
                </c:pt>
              </c:numCache>
            </c:numRef>
          </c:cat>
          <c:val>
            <c:numRef>
              <c:f>'[新建 Microsoft Excel 工作表 (2).xlsx]Sheet1'!$B$3:$K$3</c:f>
              <c:numCache>
                <c:formatCode>General</c:formatCode>
                <c:ptCount val="10"/>
                <c:pt idx="0">
                  <c:v>2577</c:v>
                </c:pt>
                <c:pt idx="1">
                  <c:v>2808</c:v>
                </c:pt>
                <c:pt idx="2">
                  <c:v>2888</c:v>
                </c:pt>
                <c:pt idx="3">
                  <c:v>2803</c:v>
                </c:pt>
                <c:pt idx="4">
                  <c:v>2460</c:v>
                </c:pt>
                <c:pt idx="5">
                  <c:v>2349</c:v>
                </c:pt>
                <c:pt idx="6">
                  <c:v>2198</c:v>
                </c:pt>
                <c:pt idx="7">
                  <c:v>1931</c:v>
                </c:pt>
                <c:pt idx="8">
                  <c:v>1851</c:v>
                </c:pt>
                <c:pt idx="9">
                  <c:v>1806</c:v>
                </c:pt>
              </c:numCache>
            </c:numRef>
          </c:val>
        </c:ser>
        <c:dLbls>
          <c:showLegendKey val="0"/>
          <c:showVal val="1"/>
          <c:showCatName val="0"/>
          <c:showSerName val="0"/>
          <c:showPercent val="0"/>
          <c:showBubbleSize val="0"/>
        </c:dLbls>
        <c:gapWidth val="219"/>
        <c:overlap val="-27"/>
        <c:axId val="313082624"/>
        <c:axId val="313084160"/>
      </c:barChart>
      <c:lineChart>
        <c:grouping val="standard"/>
        <c:varyColors val="0"/>
        <c:ser>
          <c:idx val="2"/>
          <c:order val="2"/>
          <c:tx>
            <c:strRef>
              <c:f>'[新建 Microsoft Excel 工作表 (2).xlsx]Sheet1'!$A$4</c:f>
              <c:strCache>
                <c:ptCount val="1"/>
                <c:pt idx="0">
                  <c:v>占比</c:v>
                </c:pt>
              </c:strCache>
            </c:strRef>
          </c:tx>
          <c:spPr>
            <a:ln w="28575" cap="rnd" cmpd="sng" algn="ctr">
              <a:solidFill>
                <a:schemeClr val="bg1">
                  <a:lumMod val="65000"/>
                </a:schemeClr>
              </a:solidFill>
              <a:prstDash val="solid"/>
              <a:round/>
            </a:ln>
            <a:effectLst/>
          </c:spPr>
          <c:marker>
            <c:symbol val="none"/>
          </c:marker>
          <c:dLbls>
            <c:dLbl>
              <c:idx val="7"/>
              <c:layout>
                <c:manualLayout>
                  <c:x val="0.0101429793474276"/>
                  <c:y val="-0.033458244111349"/>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dLblPos val="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numRef>
              <c:f>'[新建 Microsoft Excel 工作表 (2).xlsx]Sheet1'!$B$1:$K$1</c:f>
              <c:numCache>
                <c:formatCode>General</c:formatCode>
                <c:ptCount val="10"/>
                <c:pt idx="0">
                  <c:v>2019</c:v>
                </c:pt>
                <c:pt idx="1">
                  <c:v>2018</c:v>
                </c:pt>
                <c:pt idx="2">
                  <c:v>2017</c:v>
                </c:pt>
                <c:pt idx="3">
                  <c:v>2016</c:v>
                </c:pt>
                <c:pt idx="4">
                  <c:v>2015</c:v>
                </c:pt>
                <c:pt idx="5">
                  <c:v>2014</c:v>
                </c:pt>
                <c:pt idx="6">
                  <c:v>2013</c:v>
                </c:pt>
                <c:pt idx="7">
                  <c:v>2012</c:v>
                </c:pt>
                <c:pt idx="8">
                  <c:v>2011</c:v>
                </c:pt>
                <c:pt idx="9">
                  <c:v>2010</c:v>
                </c:pt>
              </c:numCache>
            </c:numRef>
          </c:cat>
          <c:val>
            <c:numRef>
              <c:f>'[新建 Microsoft Excel 工作表 (2).xlsx]Sheet1'!$B$4:$K$4</c:f>
              <c:numCache>
                <c:formatCode>General</c:formatCode>
                <c:ptCount val="10"/>
                <c:pt idx="0">
                  <c:v>3.006</c:v>
                </c:pt>
                <c:pt idx="1">
                  <c:v>2.756</c:v>
                </c:pt>
                <c:pt idx="2">
                  <c:v>2.574</c:v>
                </c:pt>
                <c:pt idx="3">
                  <c:v>2.517</c:v>
                </c:pt>
                <c:pt idx="4">
                  <c:v>2.541</c:v>
                </c:pt>
                <c:pt idx="5">
                  <c:v>2.714</c:v>
                </c:pt>
                <c:pt idx="6">
                  <c:v>2.707</c:v>
                </c:pt>
                <c:pt idx="7">
                  <c:v>2.785</c:v>
                </c:pt>
                <c:pt idx="8">
                  <c:v>2.68</c:v>
                </c:pt>
                <c:pt idx="9">
                  <c:v>2.626</c:v>
                </c:pt>
              </c:numCache>
            </c:numRef>
          </c:val>
          <c:smooth val="0"/>
        </c:ser>
        <c:dLbls>
          <c:showLegendKey val="0"/>
          <c:showVal val="1"/>
          <c:showCatName val="0"/>
          <c:showSerName val="0"/>
          <c:showPercent val="0"/>
          <c:showBubbleSize val="0"/>
        </c:dLbls>
        <c:marker val="0"/>
        <c:smooth val="0"/>
        <c:axId val="312997376"/>
        <c:axId val="312998912"/>
      </c:lineChart>
      <c:catAx>
        <c:axId val="312997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312998912"/>
        <c:crosses val="autoZero"/>
        <c:auto val="1"/>
        <c:lblAlgn val="ctr"/>
        <c:lblOffset val="100"/>
        <c:noMultiLvlLbl val="0"/>
      </c:catAx>
      <c:valAx>
        <c:axId val="312998912"/>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312997376"/>
        <c:crosses val="autoZero"/>
        <c:crossBetween val="between"/>
      </c:valAx>
      <c:catAx>
        <c:axId val="313082624"/>
        <c:scaling>
          <c:orientation val="minMax"/>
        </c:scaling>
        <c:delete val="1"/>
        <c:axPos val="b"/>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313084160"/>
        <c:crosses val="autoZero"/>
        <c:auto val="1"/>
        <c:lblAlgn val="ctr"/>
        <c:lblOffset val="100"/>
        <c:noMultiLvlLbl val="0"/>
      </c:catAx>
      <c:valAx>
        <c:axId val="313084160"/>
        <c:scaling>
          <c:orientation val="minMax"/>
        </c:scaling>
        <c:delete val="0"/>
        <c:axPos val="r"/>
        <c:numFmt formatCode="General" sourceLinked="1"/>
        <c:majorTickMark val="out"/>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313082624"/>
        <c:crosses val="max"/>
        <c:crossBetween val="between"/>
      </c:valAx>
      <c:spPr>
        <a:noFill/>
        <a:ln>
          <a:noFill/>
        </a:ln>
        <a:effectLst/>
      </c:spPr>
    </c:plotArea>
    <c:legend>
      <c:legendPos val="b"/>
      <c:legendEntry>
        <c:idx val="0"/>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ea"/>
                <a:ea typeface="+mn-ea"/>
                <a:cs typeface="+mn-ea"/>
                <a:sym typeface="+mn-ea"/>
              </a:defRPr>
            </a:pPr>
          </a:p>
        </c:txPr>
      </c:legendEntry>
      <c:legendEntry>
        <c:idx val="1"/>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ea"/>
                <a:ea typeface="+mn-ea"/>
                <a:cs typeface="+mn-ea"/>
                <a:sym typeface="+mn-ea"/>
              </a:defRPr>
            </a:pPr>
          </a:p>
        </c:txPr>
      </c:legendEntry>
      <c:legendEntry>
        <c:idx val="2"/>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ea"/>
                <a:ea typeface="+mn-ea"/>
                <a:cs typeface="+mn-ea"/>
                <a:sym typeface="+mn-ea"/>
              </a:defRPr>
            </a:pPr>
          </a:p>
        </c:txPr>
      </c:legendEntry>
      <c:layout>
        <c:manualLayout>
          <c:xMode val="edge"/>
          <c:yMode val="edge"/>
          <c:x val="0.198249817689343"/>
          <c:y val="0.894444444444444"/>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ea"/>
              <a:ea typeface="+mn-ea"/>
              <a:cs typeface="+mn-ea"/>
              <a:sym typeface="+mn-ea"/>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56911495528115"/>
          <c:y val="0.0303604169178512"/>
          <c:w val="0.902394951756512"/>
          <c:h val="0.708892348883909"/>
        </c:manualLayout>
      </c:layout>
      <c:barChart>
        <c:barDir val="col"/>
        <c:grouping val="clustered"/>
        <c:varyColors val="0"/>
        <c:ser>
          <c:idx val="0"/>
          <c:order val="0"/>
          <c:tx>
            <c:strRef>
              <c:f>Sheet1!$D$580</c:f>
              <c:strCache>
                <c:ptCount val="1"/>
                <c:pt idx="0">
                  <c:v>新能源汽车销量</c:v>
                </c:pt>
              </c:strCache>
            </c:strRef>
          </c:tx>
          <c:spPr>
            <a:solidFill>
              <a:srgbClr val="00706B"/>
            </a:solidFill>
            <a:ln>
              <a:noFill/>
            </a:ln>
            <a:effectLst/>
          </c:spPr>
          <c:invertIfNegative val="0"/>
          <c:dLbls>
            <c:dLbl>
              <c:idx val="2"/>
              <c:layout/>
              <c:tx>
                <c:rich>
                  <a:bodyPr rot="0" spcFirstLastPara="1" vertOverflow="ellipsis" vert="horz" wrap="square" lIns="38100" tIns="19050" rIns="38100" bIns="19050" anchor="ctr" anchorCtr="1"/>
                  <a:lstStyle/>
                  <a:p>
                    <a:pPr>
                      <a:defRPr lang="zh-CN" sz="1400" b="0" i="0" u="none" strike="noStrike" kern="1200" baseline="0">
                        <a:solidFill>
                          <a:schemeClr val="tx1">
                            <a:lumMod val="75000"/>
                            <a:lumOff val="25000"/>
                          </a:schemeClr>
                        </a:solidFill>
                        <a:latin typeface="Times New Roman" panose="02020603050405020304" charset="0"/>
                        <a:ea typeface="微软雅黑" panose="020B0503020204020204" pitchFamily="34" charset="-122"/>
                        <a:cs typeface="Times New Roman" panose="02020603050405020304" charset="0"/>
                      </a:defRPr>
                    </a:pPr>
                    <a:r>
                      <a:rPr lang="en-US" altLang="zh-CN" sz="800">
                        <a:latin typeface="Times New Roman" panose="02020603050405020304" charset="0"/>
                        <a:cs typeface="Times New Roman" panose="02020603050405020304" charset="0"/>
                      </a:rPr>
                      <a:t>9.9</a:t>
                    </a:r>
                    <a:endParaRPr lang="en-US" altLang="zh-CN" sz="800" dirty="0">
                      <a:latin typeface="Times New Roman" panose="02020603050405020304" charset="0"/>
                      <a:cs typeface="Times New Roman" panose="02020603050405020304" charset="0"/>
                    </a:endParaRPr>
                  </a:p>
                </c:rich>
              </c:tx>
              <c:numFmt formatCode="General" sourceLinked="1"/>
              <c:spPr>
                <a:noFill/>
                <a:ln>
                  <a:noFill/>
                </a:ln>
                <a:effectLst/>
              </c:spPr>
              <c:txPr>
                <a:bodyPr rot="0" spcFirstLastPara="1" vertOverflow="ellipsis" vert="horz" wrap="square" lIns="38100" tIns="19050" rIns="38100" bIns="19050" anchor="ctr" anchorCtr="1"/>
                <a:lstStyle/>
                <a:p>
                  <a:pPr>
                    <a:defRPr lang="zh-CN" sz="1400" b="0" i="0" u="none" strike="noStrike" kern="1200" baseline="0">
                      <a:solidFill>
                        <a:schemeClr val="tx1">
                          <a:lumMod val="75000"/>
                          <a:lumOff val="25000"/>
                        </a:schemeClr>
                      </a:solidFill>
                      <a:latin typeface="Times New Roman" panose="02020603050405020304" charset="0"/>
                      <a:ea typeface="微软雅黑" panose="020B0503020204020204" pitchFamily="34" charset="-122"/>
                      <a:cs typeface="Times New Roman" panose="02020603050405020304" charset="0"/>
                    </a:defRPr>
                  </a:pPr>
                </a:p>
              </c:txPr>
              <c:dLblPos val="outEnd"/>
              <c:showLegendKey val="0"/>
              <c:showVal val="1"/>
              <c:showCatName val="0"/>
              <c:showSerName val="0"/>
              <c:showPercent val="0"/>
              <c:showBubbleSize val="0"/>
              <c:extLst>
                <c:ext xmlns:c15="http://schemas.microsoft.com/office/drawing/2012/chart" uri="{CE6537A1-D6FC-4f65-9D91-7224C49458BB}"/>
              </c:extLst>
            </c:dLbl>
            <c:dLbl>
              <c:idx val="3"/>
              <c:layout/>
              <c:tx>
                <c:rich>
                  <a:bodyPr rot="0" spcFirstLastPara="1" vertOverflow="ellipsis" vert="horz" wrap="square" lIns="38100" tIns="19050" rIns="38100" bIns="19050" anchor="ctr" anchorCtr="1"/>
                  <a:lstStyle/>
                  <a:p>
                    <a:pPr>
                      <a:defRPr lang="zh-CN" sz="1400" b="0" i="0" u="none" strike="noStrike" kern="1200" baseline="0">
                        <a:solidFill>
                          <a:schemeClr val="tx1">
                            <a:lumMod val="75000"/>
                            <a:lumOff val="25000"/>
                          </a:schemeClr>
                        </a:solidFill>
                        <a:latin typeface="Times New Roman" panose="02020603050405020304" charset="0"/>
                        <a:ea typeface="微软雅黑" panose="020B0503020204020204" pitchFamily="34" charset="-122"/>
                        <a:cs typeface="Times New Roman" panose="02020603050405020304" charset="0"/>
                      </a:defRPr>
                    </a:pPr>
                    <a:r>
                      <a:rPr lang="en-US" altLang="zh-CN" sz="800">
                        <a:latin typeface="Times New Roman" panose="02020603050405020304" charset="0"/>
                        <a:cs typeface="Times New Roman" panose="02020603050405020304" charset="0"/>
                      </a:rPr>
                      <a:t>12.3</a:t>
                    </a:r>
                    <a:endParaRPr lang="en-US" altLang="zh-CN" sz="800" dirty="0">
                      <a:latin typeface="Times New Roman" panose="02020603050405020304" charset="0"/>
                      <a:cs typeface="Times New Roman" panose="02020603050405020304" charset="0"/>
                    </a:endParaRPr>
                  </a:p>
                </c:rich>
              </c:tx>
              <c:numFmt formatCode="General" sourceLinked="1"/>
              <c:spPr>
                <a:noFill/>
                <a:ln>
                  <a:noFill/>
                </a:ln>
                <a:effectLst/>
              </c:spPr>
              <c:txPr>
                <a:bodyPr rot="0" spcFirstLastPara="1" vertOverflow="ellipsis" vert="horz" wrap="square" lIns="38100" tIns="19050" rIns="38100" bIns="19050" anchor="ctr" anchorCtr="1"/>
                <a:lstStyle/>
                <a:p>
                  <a:pPr>
                    <a:defRPr lang="zh-CN" sz="1400" b="0" i="0" u="none" strike="noStrike" kern="1200" baseline="0">
                      <a:solidFill>
                        <a:schemeClr val="tx1">
                          <a:lumMod val="75000"/>
                          <a:lumOff val="25000"/>
                        </a:schemeClr>
                      </a:solidFill>
                      <a:latin typeface="Times New Roman" panose="02020603050405020304" charset="0"/>
                      <a:ea typeface="微软雅黑" panose="020B0503020204020204" pitchFamily="34" charset="-122"/>
                      <a:cs typeface="Times New Roman" panose="02020603050405020304" charset="0"/>
                    </a:defRPr>
                  </a:pPr>
                </a:p>
              </c:txPr>
              <c:dLblPos val="outEnd"/>
              <c:showLegendKey val="0"/>
              <c:showVal val="1"/>
              <c:showCatName val="0"/>
              <c:showSerName val="0"/>
              <c:showPercent val="0"/>
              <c:showBubbleSize val="0"/>
              <c:extLst>
                <c:ext xmlns:c15="http://schemas.microsoft.com/office/drawing/2012/chart" uri="{CE6537A1-D6FC-4f65-9D91-7224C49458BB}"/>
              </c:extLst>
            </c:dLbl>
            <c:dLbl>
              <c:idx val="5"/>
              <c:layout/>
              <c:tx>
                <c:rich>
                  <a:bodyPr rot="0" spcFirstLastPara="1" vertOverflow="ellipsis" vert="horz" wrap="square" lIns="38100" tIns="19050" rIns="38100" bIns="19050" anchor="ctr" anchorCtr="1"/>
                  <a:lstStyle/>
                  <a:p>
                    <a:pPr>
                      <a:defRPr lang="zh-CN" sz="1400" b="0" i="0" u="none" strike="noStrike" kern="1200" baseline="0">
                        <a:solidFill>
                          <a:schemeClr val="tx1">
                            <a:lumMod val="75000"/>
                            <a:lumOff val="25000"/>
                          </a:schemeClr>
                        </a:solidFill>
                        <a:latin typeface="Times New Roman" panose="02020603050405020304" charset="0"/>
                        <a:ea typeface="微软雅黑" panose="020B0503020204020204" pitchFamily="34" charset="-122"/>
                        <a:cs typeface="Times New Roman" panose="02020603050405020304" charset="0"/>
                      </a:defRPr>
                    </a:pPr>
                    <a:r>
                      <a:rPr lang="en-US" altLang="zh-CN" sz="800">
                        <a:latin typeface="Times New Roman" panose="02020603050405020304" charset="0"/>
                        <a:cs typeface="Times New Roman" panose="02020603050405020304" charset="0"/>
                      </a:rPr>
                      <a:t>49.8</a:t>
                    </a:r>
                    <a:endParaRPr lang="en-US" altLang="zh-CN" sz="800" dirty="0">
                      <a:latin typeface="Times New Roman" panose="02020603050405020304" charset="0"/>
                      <a:cs typeface="Times New Roman" panose="02020603050405020304" charset="0"/>
                    </a:endParaRPr>
                  </a:p>
                </c:rich>
              </c:tx>
              <c:numFmt formatCode="General" sourceLinked="1"/>
              <c:spPr>
                <a:noFill/>
                <a:ln>
                  <a:noFill/>
                </a:ln>
                <a:effectLst/>
              </c:spPr>
              <c:txPr>
                <a:bodyPr rot="0" spcFirstLastPara="1" vertOverflow="ellipsis" vert="horz" wrap="square" lIns="38100" tIns="19050" rIns="38100" bIns="19050" anchor="ctr" anchorCtr="1"/>
                <a:lstStyle/>
                <a:p>
                  <a:pPr>
                    <a:defRPr lang="zh-CN" sz="1400" b="0" i="0" u="none" strike="noStrike" kern="1200" baseline="0">
                      <a:solidFill>
                        <a:schemeClr val="tx1">
                          <a:lumMod val="75000"/>
                          <a:lumOff val="25000"/>
                        </a:schemeClr>
                      </a:solidFill>
                      <a:latin typeface="Times New Roman" panose="02020603050405020304" charset="0"/>
                      <a:ea typeface="微软雅黑" panose="020B0503020204020204" pitchFamily="34" charset="-122"/>
                      <a:cs typeface="Times New Roman" panose="02020603050405020304" charset="0"/>
                    </a:defRPr>
                  </a:pPr>
                </a:p>
              </c:txPr>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lstStyle/>
              <a:p>
                <a:pPr>
                  <a:defRPr lang="zh-CN" sz="800" b="0" i="0" u="none" strike="noStrike" kern="1200" baseline="0">
                    <a:solidFill>
                      <a:schemeClr val="tx1">
                        <a:lumMod val="75000"/>
                        <a:lumOff val="25000"/>
                      </a:schemeClr>
                    </a:solidFill>
                    <a:latin typeface="Times New Roman" panose="02020603050405020304" charset="0"/>
                    <a:ea typeface="微软雅黑" panose="020B0503020204020204" pitchFamily="34" charset="-122"/>
                    <a:cs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Sheet1!$E$579:$J$579</c:f>
              <c:strCache>
                <c:ptCount val="6"/>
                <c:pt idx="0">
                  <c:v>2021</c:v>
                </c:pt>
                <c:pt idx="1">
                  <c:v>2022</c:v>
                </c:pt>
                <c:pt idx="2">
                  <c:v>2023</c:v>
                </c:pt>
                <c:pt idx="3">
                  <c:v>2024</c:v>
                </c:pt>
                <c:pt idx="4">
                  <c:v>2025</c:v>
                </c:pt>
                <c:pt idx="5">
                  <c:v>合计</c:v>
                </c:pt>
              </c:strCache>
            </c:strRef>
          </c:cat>
          <c:val>
            <c:numRef>
              <c:f>Sheet1!$E$580:$J$580</c:f>
              <c:numCache>
                <c:formatCode>General</c:formatCode>
                <c:ptCount val="6"/>
                <c:pt idx="0">
                  <c:v>5.4</c:v>
                </c:pt>
                <c:pt idx="1">
                  <c:v>7.6</c:v>
                </c:pt>
                <c:pt idx="2">
                  <c:v>9.8</c:v>
                </c:pt>
                <c:pt idx="3">
                  <c:v>12.2</c:v>
                </c:pt>
                <c:pt idx="4">
                  <c:v>14.6</c:v>
                </c:pt>
                <c:pt idx="5">
                  <c:v>49.6</c:v>
                </c:pt>
              </c:numCache>
            </c:numRef>
          </c:val>
        </c:ser>
        <c:dLbls>
          <c:showLegendKey val="0"/>
          <c:showVal val="1"/>
          <c:showCatName val="0"/>
          <c:showSerName val="0"/>
          <c:showPercent val="0"/>
          <c:showBubbleSize val="0"/>
        </c:dLbls>
        <c:gapWidth val="219"/>
        <c:overlap val="-27"/>
        <c:axId val="313115392"/>
        <c:axId val="313116928"/>
      </c:barChart>
      <c:catAx>
        <c:axId val="3131153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800" b="0" i="0" u="none" strike="noStrike" kern="1200" baseline="0">
                <a:solidFill>
                  <a:schemeClr val="tx1">
                    <a:lumMod val="65000"/>
                    <a:lumOff val="35000"/>
                  </a:schemeClr>
                </a:solidFill>
                <a:latin typeface="Times New Roman" panose="02020603050405020304" charset="0"/>
                <a:ea typeface="微软雅黑" panose="020B0503020204020204" pitchFamily="34" charset="-122"/>
                <a:cs typeface="+mn-cs"/>
              </a:defRPr>
            </a:pPr>
          </a:p>
        </c:txPr>
        <c:crossAx val="313116928"/>
        <c:crosses val="autoZero"/>
        <c:auto val="1"/>
        <c:lblAlgn val="ctr"/>
        <c:lblOffset val="100"/>
        <c:noMultiLvlLbl val="0"/>
      </c:catAx>
      <c:valAx>
        <c:axId val="3131169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800" b="0" i="0" u="none" strike="noStrike" kern="1200" baseline="0">
                <a:solidFill>
                  <a:schemeClr val="tx1">
                    <a:lumMod val="65000"/>
                    <a:lumOff val="35000"/>
                  </a:schemeClr>
                </a:solidFill>
                <a:latin typeface="Times New Roman" panose="02020603050405020304" charset="0"/>
                <a:ea typeface="微软雅黑" panose="020B0503020204020204" pitchFamily="34" charset="-122"/>
                <a:cs typeface="+mn-cs"/>
              </a:defRPr>
            </a:pPr>
          </a:p>
        </c:txPr>
        <c:crossAx val="313115392"/>
        <c:crosses val="autoZero"/>
        <c:crossBetween val="between"/>
      </c:valAx>
      <c:spPr>
        <a:noFill/>
        <a:ln>
          <a:noFill/>
        </a:ln>
        <a:effectLst/>
      </c:spPr>
    </c:plotArea>
    <c:plotVisOnly val="1"/>
    <c:dispBlanksAs val="gap"/>
    <c:showDLblsOverMax val="0"/>
  </c:chart>
  <c:spPr>
    <a:noFill/>
    <a:ln w="6350" cap="flat" cmpd="sng" algn="ctr">
      <a:noFill/>
      <a:prstDash val="solid"/>
      <a:round/>
    </a:ln>
    <a:effectLst/>
  </c:spPr>
  <c:txPr>
    <a:bodyPr/>
    <a:lstStyle/>
    <a:p>
      <a:pPr>
        <a:defRPr lang="zh-CN" sz="1400" baseline="0">
          <a:latin typeface="Times New Roman" panose="02020603050405020304" charset="0"/>
          <a:ea typeface="微软雅黑" panose="020B0503020204020204" pitchFamily="34" charset="-122"/>
        </a:defRPr>
      </a:pPr>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[3.xlsx]Sheet1!$A$2</c:f>
              <c:strCache>
                <c:ptCount val="1"/>
                <c:pt idx="0">
                  <c:v>公交车保有量</c:v>
                </c:pt>
              </c:strCache>
            </c:strRef>
          </c:tx>
          <c:spPr>
            <a:solidFill>
              <a:srgbClr val="00706B"/>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750" b="0" i="0" u="none" strike="noStrike" kern="1200" baseline="0">
                    <a:solidFill>
                      <a:schemeClr val="tx1">
                        <a:lumMod val="75000"/>
                        <a:lumOff val="2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numRef>
              <c:f>[3.xlsx]Sheet1!$B$1:$F$1</c:f>
              <c:numCache>
                <c:formatCode>General</c:formatCode>
                <c:ptCount val="5"/>
                <c:pt idx="0">
                  <c:v>2016</c:v>
                </c:pt>
                <c:pt idx="1">
                  <c:v>2017</c:v>
                </c:pt>
                <c:pt idx="2">
                  <c:v>2018</c:v>
                </c:pt>
                <c:pt idx="3">
                  <c:v>2019</c:v>
                </c:pt>
                <c:pt idx="4">
                  <c:v>2020</c:v>
                </c:pt>
              </c:numCache>
            </c:numRef>
          </c:cat>
          <c:val>
            <c:numRef>
              <c:f>[3.xlsx]Sheet1!$B$2:$F$2</c:f>
              <c:numCache>
                <c:formatCode>General</c:formatCode>
                <c:ptCount val="5"/>
                <c:pt idx="0">
                  <c:v>14341</c:v>
                </c:pt>
                <c:pt idx="1">
                  <c:v>14711</c:v>
                </c:pt>
                <c:pt idx="2">
                  <c:v>15944</c:v>
                </c:pt>
                <c:pt idx="3">
                  <c:v>17342</c:v>
                </c:pt>
                <c:pt idx="4">
                  <c:v>18000</c:v>
                </c:pt>
              </c:numCache>
            </c:numRef>
          </c:val>
        </c:ser>
        <c:ser>
          <c:idx val="1"/>
          <c:order val="1"/>
          <c:tx>
            <c:strRef>
              <c:f>[3.xlsx]Sheet1!$A$3</c:f>
              <c:strCache>
                <c:ptCount val="1"/>
                <c:pt idx="0">
                  <c:v>出租车保有量</c:v>
                </c:pt>
              </c:strCache>
            </c:strRef>
          </c:tx>
          <c:spPr>
            <a:solidFill>
              <a:srgbClr val="ED7D3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750" b="0" i="0" u="none" strike="noStrike" kern="1200" baseline="0">
                    <a:solidFill>
                      <a:schemeClr val="tx1">
                        <a:lumMod val="75000"/>
                        <a:lumOff val="2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numRef>
              <c:f>[3.xlsx]Sheet1!$B$1:$F$1</c:f>
              <c:numCache>
                <c:formatCode>General</c:formatCode>
                <c:ptCount val="5"/>
                <c:pt idx="0">
                  <c:v>2016</c:v>
                </c:pt>
                <c:pt idx="1">
                  <c:v>2017</c:v>
                </c:pt>
                <c:pt idx="2">
                  <c:v>2018</c:v>
                </c:pt>
                <c:pt idx="3">
                  <c:v>2019</c:v>
                </c:pt>
                <c:pt idx="4">
                  <c:v>2020</c:v>
                </c:pt>
              </c:numCache>
            </c:numRef>
          </c:cat>
          <c:val>
            <c:numRef>
              <c:f>[3.xlsx]Sheet1!$B$3:$F$3</c:f>
              <c:numCache>
                <c:formatCode>General</c:formatCode>
                <c:ptCount val="5"/>
                <c:pt idx="0">
                  <c:v>36232</c:v>
                </c:pt>
                <c:pt idx="1">
                  <c:v>35960</c:v>
                </c:pt>
                <c:pt idx="2">
                  <c:v>35720</c:v>
                </c:pt>
                <c:pt idx="3">
                  <c:v>38320</c:v>
                </c:pt>
                <c:pt idx="4">
                  <c:v>40000</c:v>
                </c:pt>
              </c:numCache>
            </c:numRef>
          </c:val>
        </c:ser>
        <c:ser>
          <c:idx val="2"/>
          <c:order val="2"/>
          <c:tx>
            <c:strRef>
              <c:f>[3.xlsx]Sheet1!$A$4</c:f>
              <c:strCache>
                <c:ptCount val="1"/>
                <c:pt idx="0">
                  <c:v>客运班车</c:v>
                </c:pt>
              </c:strCache>
            </c:strRef>
          </c:tx>
          <c:spPr>
            <a:solidFill>
              <a:srgbClr val="A5A5A5"/>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750" b="0" i="0" u="none" strike="noStrike" kern="1200" baseline="0">
                    <a:solidFill>
                      <a:schemeClr val="tx1">
                        <a:lumMod val="75000"/>
                        <a:lumOff val="2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numRef>
              <c:f>[3.xlsx]Sheet1!$B$1:$F$1</c:f>
              <c:numCache>
                <c:formatCode>General</c:formatCode>
                <c:ptCount val="5"/>
                <c:pt idx="0">
                  <c:v>2016</c:v>
                </c:pt>
                <c:pt idx="1">
                  <c:v>2017</c:v>
                </c:pt>
                <c:pt idx="2">
                  <c:v>2018</c:v>
                </c:pt>
                <c:pt idx="3">
                  <c:v>2019</c:v>
                </c:pt>
                <c:pt idx="4">
                  <c:v>2020</c:v>
                </c:pt>
              </c:numCache>
            </c:numRef>
          </c:cat>
          <c:val>
            <c:numRef>
              <c:f>[3.xlsx]Sheet1!$B$4:$F$4</c:f>
              <c:numCache>
                <c:formatCode>General</c:formatCode>
                <c:ptCount val="5"/>
                <c:pt idx="0">
                  <c:v>16645</c:v>
                </c:pt>
                <c:pt idx="1">
                  <c:v>15723</c:v>
                </c:pt>
                <c:pt idx="2">
                  <c:v>14553</c:v>
                </c:pt>
                <c:pt idx="3">
                  <c:v>16156</c:v>
                </c:pt>
                <c:pt idx="4">
                  <c:v>17000</c:v>
                </c:pt>
              </c:numCache>
            </c:numRef>
          </c:val>
        </c:ser>
        <c:ser>
          <c:idx val="3"/>
          <c:order val="3"/>
          <c:tx>
            <c:strRef>
              <c:f>[3.xlsx]Sheet1!$A$5</c:f>
              <c:strCache>
                <c:ptCount val="1"/>
                <c:pt idx="0">
                  <c:v>旅游客车</c:v>
                </c:pt>
              </c:strCache>
            </c:strRef>
          </c:tx>
          <c:spPr>
            <a:solidFill>
              <a:srgbClr val="FFC000"/>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750" b="0" i="0" u="none" strike="noStrike" kern="1200" baseline="0">
                    <a:solidFill>
                      <a:schemeClr val="tx1">
                        <a:lumMod val="75000"/>
                        <a:lumOff val="2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numRef>
              <c:f>[3.xlsx]Sheet1!$B$1:$F$1</c:f>
              <c:numCache>
                <c:formatCode>General</c:formatCode>
                <c:ptCount val="5"/>
                <c:pt idx="0">
                  <c:v>2016</c:v>
                </c:pt>
                <c:pt idx="1">
                  <c:v>2017</c:v>
                </c:pt>
                <c:pt idx="2">
                  <c:v>2018</c:v>
                </c:pt>
                <c:pt idx="3">
                  <c:v>2019</c:v>
                </c:pt>
                <c:pt idx="4">
                  <c:v>2020</c:v>
                </c:pt>
              </c:numCache>
            </c:numRef>
          </c:cat>
          <c:val>
            <c:numRef>
              <c:f>[3.xlsx]Sheet1!$B$5:$F$5</c:f>
              <c:numCache>
                <c:formatCode>General</c:formatCode>
                <c:ptCount val="5"/>
                <c:pt idx="0">
                  <c:v>2497</c:v>
                </c:pt>
                <c:pt idx="1">
                  <c:v>2888</c:v>
                </c:pt>
                <c:pt idx="2">
                  <c:v>3654</c:v>
                </c:pt>
                <c:pt idx="3">
                  <c:v>5095</c:v>
                </c:pt>
                <c:pt idx="4">
                  <c:v>5500</c:v>
                </c:pt>
              </c:numCache>
            </c:numRef>
          </c:val>
        </c:ser>
        <c:dLbls>
          <c:showLegendKey val="0"/>
          <c:showVal val="1"/>
          <c:showCatName val="0"/>
          <c:showSerName val="0"/>
          <c:showPercent val="0"/>
          <c:showBubbleSize val="0"/>
        </c:dLbls>
        <c:gapWidth val="219"/>
        <c:overlap val="-27"/>
        <c:axId val="313154944"/>
        <c:axId val="313214080"/>
      </c:barChart>
      <c:catAx>
        <c:axId val="3131549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80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313214080"/>
        <c:crosses val="autoZero"/>
        <c:auto val="1"/>
        <c:lblAlgn val="ctr"/>
        <c:lblOffset val="100"/>
        <c:noMultiLvlLbl val="0"/>
      </c:catAx>
      <c:valAx>
        <c:axId val="313214080"/>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80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313154944"/>
        <c:crosses val="autoZero"/>
        <c:crossBetween val="between"/>
      </c:valAx>
      <c:spPr>
        <a:noFill/>
        <a:ln>
          <a:noFill/>
        </a:ln>
        <a:effectLst/>
      </c:spPr>
    </c:plotArea>
    <c:legend>
      <c:legendPos val="b"/>
      <c:legendEntry>
        <c:idx val="0"/>
        <c:txPr>
          <a:bodyPr rot="0" spcFirstLastPara="0" vertOverflow="ellipsis" vert="horz" wrap="square" anchor="ctr" anchorCtr="1"/>
          <a:lstStyle/>
          <a:p>
            <a:pPr>
              <a:defRPr lang="zh-CN" sz="800" b="0" i="0" u="none" strike="noStrike" kern="1200" baseline="0">
                <a:solidFill>
                  <a:schemeClr val="tx1">
                    <a:lumMod val="65000"/>
                    <a:lumOff val="35000"/>
                  </a:schemeClr>
                </a:solidFill>
                <a:latin typeface="+mn-lt"/>
                <a:ea typeface="+mn-ea"/>
                <a:cs typeface="+mn-cs"/>
              </a:defRPr>
            </a:pPr>
          </a:p>
        </c:txPr>
      </c:legendEntry>
      <c:legendEntry>
        <c:idx val="1"/>
        <c:txPr>
          <a:bodyPr rot="0" spcFirstLastPara="0" vertOverflow="ellipsis" vert="horz" wrap="square" anchor="ctr" anchorCtr="1"/>
          <a:lstStyle/>
          <a:p>
            <a:pPr>
              <a:defRPr lang="zh-CN" sz="800" b="0" i="0" u="none" strike="noStrike" kern="1200" baseline="0">
                <a:solidFill>
                  <a:schemeClr val="tx1">
                    <a:lumMod val="65000"/>
                    <a:lumOff val="35000"/>
                  </a:schemeClr>
                </a:solidFill>
                <a:latin typeface="+mn-lt"/>
                <a:ea typeface="+mn-ea"/>
                <a:cs typeface="+mn-cs"/>
              </a:defRPr>
            </a:pPr>
          </a:p>
        </c:txPr>
      </c:legendEntry>
      <c:legendEntry>
        <c:idx val="2"/>
        <c:txPr>
          <a:bodyPr rot="0" spcFirstLastPara="0" vertOverflow="ellipsis" vert="horz" wrap="square" anchor="ctr" anchorCtr="1"/>
          <a:lstStyle/>
          <a:p>
            <a:pPr>
              <a:defRPr lang="zh-CN" sz="800" b="0" i="0" u="none" strike="noStrike" kern="1200" baseline="0">
                <a:solidFill>
                  <a:schemeClr val="tx1">
                    <a:lumMod val="65000"/>
                    <a:lumOff val="35000"/>
                  </a:schemeClr>
                </a:solidFill>
                <a:latin typeface="+mn-lt"/>
                <a:ea typeface="+mn-ea"/>
                <a:cs typeface="+mn-cs"/>
              </a:defRPr>
            </a:pPr>
          </a:p>
        </c:txPr>
      </c:legendEntry>
      <c:legendEntry>
        <c:idx val="3"/>
        <c:txPr>
          <a:bodyPr rot="0" spcFirstLastPara="0" vertOverflow="ellipsis" vert="horz" wrap="square" anchor="ctr" anchorCtr="1"/>
          <a:lstStyle/>
          <a:p>
            <a:pPr>
              <a:defRPr lang="zh-CN" sz="800" b="0" i="0" u="none" strike="noStrike" kern="1200" baseline="0">
                <a:solidFill>
                  <a:schemeClr val="tx1">
                    <a:lumMod val="65000"/>
                    <a:lumOff val="35000"/>
                  </a:schemeClr>
                </a:solidFill>
                <a:latin typeface="+mn-lt"/>
                <a:ea typeface="+mn-ea"/>
                <a:cs typeface="+mn-cs"/>
              </a:defRPr>
            </a:pPr>
          </a:p>
        </c:txPr>
      </c:legendEntry>
      <c:layout>
        <c:manualLayout>
          <c:xMode val="edge"/>
          <c:yMode val="edge"/>
          <c:x val="0.270419981871287"/>
          <c:y val="0.884132537559169"/>
        </c:manualLayout>
      </c:layout>
      <c:overlay val="0"/>
      <c:spPr>
        <a:noFill/>
        <a:ln>
          <a:noFill/>
        </a:ln>
        <a:effectLst/>
      </c:spPr>
      <c:txPr>
        <a:bodyPr rot="0" spcFirstLastPara="0" vertOverflow="ellipsis" vert="horz" wrap="square" anchor="ctr" anchorCtr="1"/>
        <a:lstStyle/>
        <a:p>
          <a:pPr>
            <a:defRPr lang="zh-CN" sz="8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Sheet1!$B$515</c:f>
              <c:strCache>
                <c:ptCount val="1"/>
                <c:pt idx="0">
                  <c:v>截止2019年底</c:v>
                </c:pt>
              </c:strCache>
            </c:strRef>
          </c:tx>
          <c:spPr>
            <a:solidFill>
              <a:srgbClr val="00706B"/>
            </a:solidFill>
            <a:ln>
              <a:noFill/>
            </a:ln>
            <a:effectLst/>
          </c:spPr>
          <c:invertIfNegative val="0"/>
          <c:dLbls>
            <c:dLbl>
              <c:idx val="0"/>
              <c:layout>
                <c:manualLayout>
                  <c:x val="-0.00242738951650608"/>
                  <c:y val="0.031565656565656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lstStyle/>
              <a:p>
                <a:pPr>
                  <a:defRPr lang="zh-CN" sz="700" b="0" i="0" u="none" strike="noStrike" kern="1200" baseline="0">
                    <a:solidFill>
                      <a:schemeClr val="tx1">
                        <a:lumMod val="75000"/>
                        <a:lumOff val="25000"/>
                      </a:schemeClr>
                    </a:solidFill>
                    <a:latin typeface="Times New Roman" panose="02020603050405020304" charset="0"/>
                    <a:ea typeface="微软雅黑" panose="020B0503020204020204" pitchFamily="34" charset="-122"/>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Sheet1!$A$516:$A$521</c:f>
              <c:strCache>
                <c:ptCount val="6"/>
                <c:pt idx="0">
                  <c:v>公交</c:v>
                </c:pt>
                <c:pt idx="1">
                  <c:v>环卫</c:v>
                </c:pt>
                <c:pt idx="2">
                  <c:v>邮政</c:v>
                </c:pt>
                <c:pt idx="3">
                  <c:v>出租</c:v>
                </c:pt>
                <c:pt idx="4">
                  <c:v>通勤</c:v>
                </c:pt>
                <c:pt idx="5">
                  <c:v>轻型物流配送</c:v>
                </c:pt>
              </c:strCache>
            </c:strRef>
          </c:cat>
          <c:val>
            <c:numRef>
              <c:f>Sheet1!$B$516:$B$521</c:f>
              <c:numCache>
                <c:formatCode>General</c:formatCode>
                <c:ptCount val="6"/>
                <c:pt idx="0">
                  <c:v>5721</c:v>
                </c:pt>
                <c:pt idx="1">
                  <c:v>355</c:v>
                </c:pt>
                <c:pt idx="2">
                  <c:v>656</c:v>
                </c:pt>
                <c:pt idx="3">
                  <c:v>16267</c:v>
                </c:pt>
                <c:pt idx="4">
                  <c:v>99</c:v>
                </c:pt>
                <c:pt idx="5">
                  <c:v>2308</c:v>
                </c:pt>
              </c:numCache>
            </c:numRef>
          </c:val>
        </c:ser>
        <c:ser>
          <c:idx val="1"/>
          <c:order val="1"/>
          <c:tx>
            <c:strRef>
              <c:f>Sheet1!$C$515</c:f>
              <c:strCache>
                <c:ptCount val="1"/>
                <c:pt idx="0">
                  <c:v>截止2020年9月</c:v>
                </c:pt>
              </c:strCache>
            </c:strRef>
          </c:tx>
          <c:spPr>
            <a:solidFill>
              <a:srgbClr val="FFC000"/>
            </a:solidFill>
            <a:ln>
              <a:noFill/>
            </a:ln>
            <a:effectLst/>
          </c:spPr>
          <c:invertIfNegative val="0"/>
          <c:dLbls>
            <c:dLbl>
              <c:idx val="0"/>
              <c:layout>
                <c:manualLayout>
                  <c:x val="-0.00242738951650608"/>
                  <c:y val="0.025252525252525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
                  <c:y val="0.018939393939393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0970955806602427"/>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lstStyle/>
              <a:p>
                <a:pPr>
                  <a:defRPr lang="zh-CN" sz="700" b="0" i="0" u="none" strike="noStrike" kern="1200" baseline="0">
                    <a:solidFill>
                      <a:schemeClr val="tx1">
                        <a:lumMod val="75000"/>
                        <a:lumOff val="25000"/>
                      </a:schemeClr>
                    </a:solidFill>
                    <a:latin typeface="Times New Roman" panose="02020603050405020304" charset="0"/>
                    <a:ea typeface="微软雅黑" panose="020B0503020204020204" pitchFamily="34" charset="-122"/>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Sheet1!$A$516:$A$521</c:f>
              <c:strCache>
                <c:ptCount val="6"/>
                <c:pt idx="0">
                  <c:v>公交</c:v>
                </c:pt>
                <c:pt idx="1">
                  <c:v>环卫</c:v>
                </c:pt>
                <c:pt idx="2">
                  <c:v>邮政</c:v>
                </c:pt>
                <c:pt idx="3">
                  <c:v>出租</c:v>
                </c:pt>
                <c:pt idx="4">
                  <c:v>通勤</c:v>
                </c:pt>
                <c:pt idx="5">
                  <c:v>轻型物流配送</c:v>
                </c:pt>
              </c:strCache>
            </c:strRef>
          </c:cat>
          <c:val>
            <c:numRef>
              <c:f>Sheet1!$C$516:$C$521</c:f>
              <c:numCache>
                <c:formatCode>General</c:formatCode>
                <c:ptCount val="6"/>
                <c:pt idx="0">
                  <c:v>6700</c:v>
                </c:pt>
                <c:pt idx="1">
                  <c:v>512</c:v>
                </c:pt>
                <c:pt idx="2">
                  <c:v>742</c:v>
                </c:pt>
                <c:pt idx="3">
                  <c:v>18909</c:v>
                </c:pt>
                <c:pt idx="4">
                  <c:v>146</c:v>
                </c:pt>
                <c:pt idx="5">
                  <c:v>20309</c:v>
                </c:pt>
              </c:numCache>
            </c:numRef>
          </c:val>
        </c:ser>
        <c:ser>
          <c:idx val="2"/>
          <c:order val="2"/>
          <c:tx>
            <c:strRef>
              <c:f>Sheet1!$D$515</c:f>
              <c:strCache>
                <c:ptCount val="1"/>
                <c:pt idx="0">
                  <c:v>截止2020年底预计</c:v>
                </c:pt>
              </c:strCache>
            </c:strRef>
          </c:tx>
          <c:spPr>
            <a:solidFill>
              <a:schemeClr val="accent3"/>
            </a:solidFill>
            <a:ln>
              <a:noFill/>
            </a:ln>
            <a:effectLst/>
          </c:spPr>
          <c:invertIfNegative val="0"/>
          <c:dLbls>
            <c:dLbl>
              <c:idx val="5"/>
              <c:layout>
                <c:manualLayout>
                  <c:x val="0.00242738951650608"/>
                  <c:y val="0.025252525252525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lstStyle/>
              <a:p>
                <a:pPr>
                  <a:defRPr lang="zh-CN" sz="700" b="0" i="0" u="none" strike="noStrike" kern="1200" baseline="0">
                    <a:solidFill>
                      <a:schemeClr val="tx1">
                        <a:lumMod val="75000"/>
                        <a:lumOff val="25000"/>
                      </a:schemeClr>
                    </a:solidFill>
                    <a:latin typeface="Times New Roman" panose="02020603050405020304" charset="0"/>
                    <a:ea typeface="微软雅黑" panose="020B0503020204020204" pitchFamily="34" charset="-122"/>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Sheet1!$A$516:$A$521</c:f>
              <c:strCache>
                <c:ptCount val="6"/>
                <c:pt idx="0">
                  <c:v>公交</c:v>
                </c:pt>
                <c:pt idx="1">
                  <c:v>环卫</c:v>
                </c:pt>
                <c:pt idx="2">
                  <c:v>邮政</c:v>
                </c:pt>
                <c:pt idx="3">
                  <c:v>出租</c:v>
                </c:pt>
                <c:pt idx="4">
                  <c:v>通勤</c:v>
                </c:pt>
                <c:pt idx="5">
                  <c:v>轻型物流配送</c:v>
                </c:pt>
              </c:strCache>
            </c:strRef>
          </c:cat>
          <c:val>
            <c:numRef>
              <c:f>Sheet1!$D$516:$D$521</c:f>
              <c:numCache>
                <c:formatCode>General</c:formatCode>
                <c:ptCount val="6"/>
                <c:pt idx="0">
                  <c:v>7214</c:v>
                </c:pt>
                <c:pt idx="1">
                  <c:v>541</c:v>
                </c:pt>
                <c:pt idx="2">
                  <c:v>744</c:v>
                </c:pt>
                <c:pt idx="3">
                  <c:v>19763</c:v>
                </c:pt>
                <c:pt idx="4">
                  <c:v>146</c:v>
                </c:pt>
                <c:pt idx="5">
                  <c:v>20336</c:v>
                </c:pt>
              </c:numCache>
            </c:numRef>
          </c:val>
        </c:ser>
        <c:dLbls>
          <c:showLegendKey val="0"/>
          <c:showVal val="1"/>
          <c:showCatName val="0"/>
          <c:showSerName val="0"/>
          <c:showPercent val="0"/>
          <c:showBubbleSize val="0"/>
        </c:dLbls>
        <c:gapWidth val="219"/>
        <c:overlap val="-27"/>
        <c:axId val="313266944"/>
        <c:axId val="313268480"/>
      </c:barChart>
      <c:catAx>
        <c:axId val="3132669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800" b="0" i="0" u="none" strike="noStrike" kern="1200" baseline="0">
                <a:solidFill>
                  <a:schemeClr val="tx1">
                    <a:lumMod val="65000"/>
                    <a:lumOff val="35000"/>
                  </a:schemeClr>
                </a:solidFill>
                <a:latin typeface="+mj-ea"/>
                <a:ea typeface="+mj-ea"/>
                <a:cs typeface="+mn-cs"/>
              </a:defRPr>
            </a:pPr>
          </a:p>
        </c:txPr>
        <c:crossAx val="313268480"/>
        <c:crosses val="autoZero"/>
        <c:auto val="1"/>
        <c:lblAlgn val="ctr"/>
        <c:lblOffset val="100"/>
        <c:noMultiLvlLbl val="0"/>
      </c:catAx>
      <c:valAx>
        <c:axId val="313268480"/>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800" b="0" i="0" u="none" strike="noStrike" kern="1200" baseline="0">
                <a:solidFill>
                  <a:schemeClr val="tx1">
                    <a:lumMod val="65000"/>
                    <a:lumOff val="35000"/>
                  </a:schemeClr>
                </a:solidFill>
                <a:latin typeface="Times New Roman" panose="02020603050405020304" charset="0"/>
                <a:ea typeface="微软雅黑" panose="020B0503020204020204" pitchFamily="34" charset="-122"/>
                <a:cs typeface="+mn-cs"/>
              </a:defRPr>
            </a:pPr>
          </a:p>
        </c:txPr>
        <c:crossAx val="313266944"/>
        <c:crosses val="autoZero"/>
        <c:crossBetween val="between"/>
      </c:valAx>
      <c:spPr>
        <a:noFill/>
        <a:ln>
          <a:noFill/>
        </a:ln>
        <a:effectLst/>
      </c:spPr>
    </c:plotArea>
    <c:legend>
      <c:legendPos val="b"/>
      <c:layout>
        <c:manualLayout>
          <c:xMode val="edge"/>
          <c:yMode val="edge"/>
          <c:x val="0.227258513925379"/>
          <c:y val="0.842676767676768"/>
          <c:w val="0.540628193116229"/>
          <c:h val="0.0878787878787875"/>
        </c:manualLayout>
      </c:layout>
      <c:overlay val="0"/>
      <c:spPr>
        <a:noFill/>
        <a:ln>
          <a:noFill/>
        </a:ln>
        <a:effectLst/>
      </c:spPr>
      <c:txPr>
        <a:bodyPr rot="0" spcFirstLastPara="1" vertOverflow="ellipsis" vert="horz" wrap="square" anchor="ctr" anchorCtr="1"/>
        <a:lstStyle/>
        <a:p>
          <a:pPr>
            <a:defRPr lang="zh-CN" sz="800" b="0" i="0" u="none" strike="noStrike" kern="1200" baseline="0">
              <a:solidFill>
                <a:schemeClr val="tx1">
                  <a:lumMod val="65000"/>
                  <a:lumOff val="35000"/>
                </a:schemeClr>
              </a:solidFill>
              <a:latin typeface="+mn-ea"/>
              <a:ea typeface="+mn-ea"/>
              <a:cs typeface="+mn-cs"/>
            </a:defRPr>
          </a:pPr>
        </a:p>
      </c:txPr>
    </c:legend>
    <c:plotVisOnly val="1"/>
    <c:dispBlanksAs val="gap"/>
    <c:showDLblsOverMax val="0"/>
  </c:chart>
  <c:spPr>
    <a:noFill/>
    <a:ln w="6350" cap="flat" cmpd="sng" algn="ctr">
      <a:noFill/>
      <a:prstDash val="solid"/>
      <a:round/>
    </a:ln>
    <a:effectLst/>
  </c:spPr>
  <c:txPr>
    <a:bodyPr/>
    <a:lstStyle/>
    <a:p>
      <a:pPr>
        <a:defRPr lang="zh-CN" sz="1200" baseline="0">
          <a:latin typeface="Times New Roman" panose="02020603050405020304" charset="0"/>
          <a:ea typeface="微软雅黑" panose="020B0503020204020204" pitchFamily="34" charset="-122"/>
        </a:defRPr>
      </a:pPr>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Sheet1!$A$253</c:f>
              <c:strCache>
                <c:ptCount val="1"/>
                <c:pt idx="0">
                  <c:v>公交车总保有量预计（万辆）</c:v>
                </c:pt>
              </c:strCache>
            </c:strRef>
          </c:tx>
          <c:spPr>
            <a:solidFill>
              <a:srgbClr val="FFC000"/>
            </a:solidFill>
            <a:ln>
              <a:noFill/>
            </a:ln>
            <a:effectLst/>
          </c:spPr>
          <c:invertIfNegative val="0"/>
          <c:dLbls>
            <c:spPr>
              <a:noFill/>
              <a:ln>
                <a:noFill/>
              </a:ln>
              <a:effectLst/>
            </c:spPr>
            <c:txPr>
              <a:bodyPr rot="0" spcFirstLastPara="1" vertOverflow="ellipsis" vert="horz" wrap="square" lIns="38100" tIns="19050" rIns="38100" bIns="19050" anchor="ctr" anchorCtr="1"/>
              <a:lstStyle/>
              <a:p>
                <a:pPr>
                  <a:defRPr lang="zh-CN" sz="800" b="0" i="0" u="none" strike="noStrike" kern="1200" baseline="0">
                    <a:solidFill>
                      <a:schemeClr val="tx1">
                        <a:lumMod val="75000"/>
                        <a:lumOff val="25000"/>
                      </a:schemeClr>
                    </a:solidFill>
                    <a:latin typeface="Times New Roman" panose="02020603050405020304" charset="0"/>
                    <a:ea typeface="+mn-ea"/>
                    <a:cs typeface="Times New Roman" panose="02020603050405020304" charset="0"/>
                    <a:sym typeface="+mn-lt"/>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numRef>
              <c:f>Sheet1!$B$252:$F$252</c:f>
              <c:numCache>
                <c:formatCode>General</c:formatCode>
                <c:ptCount val="5"/>
                <c:pt idx="0">
                  <c:v>2021</c:v>
                </c:pt>
                <c:pt idx="1">
                  <c:v>2022</c:v>
                </c:pt>
                <c:pt idx="2">
                  <c:v>2023</c:v>
                </c:pt>
                <c:pt idx="3">
                  <c:v>2024</c:v>
                </c:pt>
                <c:pt idx="4">
                  <c:v>2025</c:v>
                </c:pt>
              </c:numCache>
            </c:numRef>
          </c:cat>
          <c:val>
            <c:numRef>
              <c:f>Sheet1!$B$253:$F$253</c:f>
              <c:numCache>
                <c:formatCode>General</c:formatCode>
                <c:ptCount val="5"/>
                <c:pt idx="0">
                  <c:v>1.9</c:v>
                </c:pt>
                <c:pt idx="1">
                  <c:v>2</c:v>
                </c:pt>
                <c:pt idx="2">
                  <c:v>2.1</c:v>
                </c:pt>
                <c:pt idx="3">
                  <c:v>2.2</c:v>
                </c:pt>
                <c:pt idx="4">
                  <c:v>2.3</c:v>
                </c:pt>
              </c:numCache>
            </c:numRef>
          </c:val>
        </c:ser>
        <c:ser>
          <c:idx val="1"/>
          <c:order val="1"/>
          <c:tx>
            <c:strRef>
              <c:f>Sheet1!$A$254</c:f>
              <c:strCache>
                <c:ptCount val="1"/>
                <c:pt idx="0">
                  <c:v>电动公交车保有量(万辆)</c:v>
                </c:pt>
              </c:strCache>
            </c:strRef>
          </c:tx>
          <c:spPr>
            <a:solidFill>
              <a:srgbClr val="00706B"/>
            </a:solidFill>
            <a:ln>
              <a:noFill/>
            </a:ln>
            <a:effectLst/>
          </c:spPr>
          <c:invertIfNegative val="0"/>
          <c:dLbls>
            <c:spPr>
              <a:noFill/>
              <a:ln>
                <a:noFill/>
              </a:ln>
              <a:effectLst/>
            </c:spPr>
            <c:txPr>
              <a:bodyPr rot="0" spcFirstLastPara="1" vertOverflow="ellipsis" vert="horz" wrap="square" lIns="38100" tIns="19050" rIns="38100" bIns="19050" anchor="ctr" anchorCtr="1"/>
              <a:lstStyle/>
              <a:p>
                <a:pPr>
                  <a:defRPr lang="zh-CN" sz="800" b="0" i="0" u="none" strike="noStrike" kern="1200" baseline="0">
                    <a:solidFill>
                      <a:schemeClr val="tx1">
                        <a:lumMod val="75000"/>
                        <a:lumOff val="25000"/>
                      </a:schemeClr>
                    </a:solidFill>
                    <a:latin typeface="Times New Roman" panose="02020603050405020304" charset="0"/>
                    <a:ea typeface="+mn-ea"/>
                    <a:cs typeface="Times New Roman" panose="02020603050405020304" charset="0"/>
                    <a:sym typeface="+mn-lt"/>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numRef>
              <c:f>Sheet1!$B$252:$F$252</c:f>
              <c:numCache>
                <c:formatCode>General</c:formatCode>
                <c:ptCount val="5"/>
                <c:pt idx="0">
                  <c:v>2021</c:v>
                </c:pt>
                <c:pt idx="1">
                  <c:v>2022</c:v>
                </c:pt>
                <c:pt idx="2">
                  <c:v>2023</c:v>
                </c:pt>
                <c:pt idx="3">
                  <c:v>2024</c:v>
                </c:pt>
                <c:pt idx="4">
                  <c:v>2025</c:v>
                </c:pt>
              </c:numCache>
            </c:numRef>
          </c:cat>
          <c:val>
            <c:numRef>
              <c:f>Sheet1!$B$254:$F$254</c:f>
              <c:numCache>
                <c:formatCode>General</c:formatCode>
                <c:ptCount val="5"/>
                <c:pt idx="0">
                  <c:v>1</c:v>
                </c:pt>
                <c:pt idx="1">
                  <c:v>1.2</c:v>
                </c:pt>
                <c:pt idx="2">
                  <c:v>1.4</c:v>
                </c:pt>
                <c:pt idx="3">
                  <c:v>1.7</c:v>
                </c:pt>
                <c:pt idx="4">
                  <c:v>2</c:v>
                </c:pt>
              </c:numCache>
            </c:numRef>
          </c:val>
        </c:ser>
        <c:dLbls>
          <c:showLegendKey val="0"/>
          <c:showVal val="1"/>
          <c:showCatName val="0"/>
          <c:showSerName val="0"/>
          <c:showPercent val="0"/>
          <c:showBubbleSize val="0"/>
        </c:dLbls>
        <c:gapWidth val="219"/>
        <c:overlap val="-27"/>
        <c:axId val="313397248"/>
        <c:axId val="313398784"/>
      </c:barChart>
      <c:lineChart>
        <c:grouping val="standard"/>
        <c:varyColors val="0"/>
        <c:ser>
          <c:idx val="2"/>
          <c:order val="2"/>
          <c:tx>
            <c:strRef>
              <c:f>Sheet1!$A$255</c:f>
              <c:strCache>
                <c:ptCount val="1"/>
                <c:pt idx="0">
                  <c:v>占比</c:v>
                </c:pt>
              </c:strCache>
            </c:strRef>
          </c:tx>
          <c:spPr>
            <a:ln w="28575" cap="rnd" cmpd="sng" algn="ctr">
              <a:solidFill>
                <a:schemeClr val="accent3"/>
              </a:solidFill>
              <a:prstDash val="solid"/>
              <a:round/>
            </a:ln>
            <a:effectLst/>
          </c:spPr>
          <c:marker>
            <c:symbol val="none"/>
          </c:marker>
          <c:dLbls>
            <c:dLbl>
              <c:idx val="0"/>
              <c:layout>
                <c:manualLayout>
                  <c:x val="-0.00992063492063498"/>
                  <c:y val="0"/>
                </c:manualLayout>
              </c:layout>
              <c:numFmt formatCode="General" sourceLinked="1"/>
              <c:spPr>
                <a:noFill/>
                <a:ln>
                  <a:noFill/>
                </a:ln>
                <a:effectLst/>
              </c:spPr>
              <c:txPr>
                <a:bodyPr rot="0" spcFirstLastPara="1" vertOverflow="ellipsis" vert="horz" wrap="square" lIns="38100" tIns="19050" rIns="38100" bIns="19050" anchor="ctr" anchorCtr="1"/>
                <a:lstStyle/>
                <a:p>
                  <a:pPr>
                    <a:defRPr lang="zh-CN" sz="800" b="1" i="0" u="none" strike="noStrike" kern="1200" baseline="0">
                      <a:solidFill>
                        <a:schemeClr val="bg1"/>
                      </a:solidFill>
                      <a:latin typeface="Times New Roman" panose="02020603050405020304" charset="0"/>
                      <a:ea typeface="+mn-ea"/>
                      <a:cs typeface="Times New Roman" panose="02020603050405020304" charset="0"/>
                      <a:sym typeface="+mn-lt"/>
                    </a:defRPr>
                  </a:pPr>
                </a:p>
              </c:txPr>
              <c:dLblPos val="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124007936507936"/>
                  <c:y val="0"/>
                </c:manualLayout>
              </c:layout>
              <c:tx>
                <c:rich>
                  <a:bodyPr rot="0" spcFirstLastPara="1" vertOverflow="ellipsis" vert="horz" wrap="square" lIns="38100" tIns="19050" rIns="38100" bIns="19050" anchor="ctr" anchorCtr="1"/>
                  <a:lstStyle/>
                  <a:p>
                    <a:pPr>
                      <a:defRPr lang="zh-CN" sz="1400" b="0" i="0" u="none" strike="noStrike" kern="1200" baseline="0">
                        <a:solidFill>
                          <a:schemeClr val="bg1"/>
                        </a:solidFill>
                        <a:latin typeface="+mn-lt"/>
                        <a:ea typeface="+mn-ea"/>
                        <a:cs typeface="+mn-ea"/>
                        <a:sym typeface="+mn-lt"/>
                      </a:defRPr>
                    </a:pPr>
                    <a:r>
                      <a:rPr altLang="en-US" sz="800" b="1">
                        <a:latin typeface="Times New Roman" panose="02020603050405020304" charset="0"/>
                        <a:cs typeface="Times New Roman" panose="02020603050405020304" charset="0"/>
                      </a:rPr>
                      <a:t>60</a:t>
                    </a:r>
                    <a:r>
                      <a:rPr altLang="en-US" sz="800">
                        <a:latin typeface="Times New Roman" panose="02020603050405020304" charset="0"/>
                        <a:cs typeface="Times New Roman" panose="02020603050405020304" charset="0"/>
                      </a:rPr>
                      <a:t>%</a:t>
                    </a:r>
                    <a:endParaRPr altLang="en-US" sz="800">
                      <a:latin typeface="Times New Roman" panose="02020603050405020304" charset="0"/>
                      <a:cs typeface="Times New Roman" panose="02020603050405020304" charset="0"/>
                    </a:endParaRPr>
                  </a:p>
                </c:rich>
              </c:tx>
              <c:numFmt formatCode="General" sourceLinked="1"/>
              <c:spPr>
                <a:noFill/>
                <a:ln>
                  <a:noFill/>
                </a:ln>
                <a:effectLst/>
              </c:spPr>
              <c:txPr>
                <a:bodyPr rot="0" spcFirstLastPara="1" vertOverflow="ellipsis" vert="horz" wrap="square" lIns="38100" tIns="19050" rIns="38100" bIns="19050" anchor="ctr" anchorCtr="1"/>
                <a:lstStyle/>
                <a:p>
                  <a:pPr>
                    <a:defRPr lang="zh-CN" sz="1400" b="0" i="0" u="none" strike="noStrike" kern="1200" baseline="0">
                      <a:solidFill>
                        <a:schemeClr val="bg1"/>
                      </a:solidFill>
                      <a:latin typeface="+mn-lt"/>
                      <a:ea typeface="+mn-ea"/>
                      <a:cs typeface="+mn-ea"/>
                      <a:sym typeface="+mn-lt"/>
                    </a:defRPr>
                  </a:pPr>
                </a:p>
              </c:txPr>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124007936507937"/>
                  <c:y val="0"/>
                </c:manualLayout>
              </c:layout>
              <c:numFmt formatCode="General" sourceLinked="1"/>
              <c:spPr>
                <a:noFill/>
                <a:ln>
                  <a:noFill/>
                </a:ln>
                <a:effectLst/>
              </c:spPr>
              <c:txPr>
                <a:bodyPr rot="0" spcFirstLastPara="1" vertOverflow="ellipsis" vert="horz" wrap="square" lIns="38100" tIns="19050" rIns="38100" bIns="19050" anchor="ctr" anchorCtr="1"/>
                <a:lstStyle/>
                <a:p>
                  <a:pPr>
                    <a:defRPr lang="zh-CN" sz="800" b="1" i="0" u="none" strike="noStrike" kern="1200" baseline="0">
                      <a:solidFill>
                        <a:schemeClr val="bg1"/>
                      </a:solidFill>
                      <a:latin typeface="Times New Roman" panose="02020603050405020304" charset="0"/>
                      <a:ea typeface="+mn-ea"/>
                      <a:cs typeface="Times New Roman" panose="02020603050405020304" charset="0"/>
                      <a:sym typeface="+mn-lt"/>
                    </a:defRPr>
                  </a:pPr>
                </a:p>
              </c:txPr>
              <c:dLblPos val="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124009889388826"/>
                  <c:y val="0"/>
                </c:manualLayout>
              </c:layout>
              <c:tx>
                <c:rich>
                  <a:bodyPr rot="0" spcFirstLastPara="1" vertOverflow="ellipsis" vert="horz" wrap="square" lIns="38100" tIns="19050" rIns="38100" bIns="19050" anchor="ctr" anchorCtr="1"/>
                  <a:lstStyle/>
                  <a:p>
                    <a:pPr>
                      <a:defRPr lang="zh-CN" sz="800" b="1" i="0" u="none" strike="noStrike" kern="1200" baseline="0">
                        <a:solidFill>
                          <a:schemeClr val="bg1"/>
                        </a:solidFill>
                        <a:latin typeface="Times New Roman" panose="02020603050405020304" charset="0"/>
                        <a:ea typeface="+mn-ea"/>
                        <a:cs typeface="Times New Roman" panose="02020603050405020304" charset="0"/>
                        <a:sym typeface="+mn-lt"/>
                      </a:defRPr>
                    </a:pPr>
                    <a:r>
                      <a:rPr altLang="en-US" sz="800">
                        <a:latin typeface="Times New Roman" panose="02020603050405020304" charset="0"/>
                        <a:cs typeface="Times New Roman" panose="02020603050405020304" charset="0"/>
                      </a:rPr>
                      <a:t>77%</a:t>
                    </a:r>
                    <a:endParaRPr altLang="en-US" sz="800">
                      <a:latin typeface="Times New Roman" panose="02020603050405020304" charset="0"/>
                      <a:cs typeface="Times New Roman" panose="02020603050405020304" charset="0"/>
                    </a:endParaRPr>
                  </a:p>
                </c:rich>
              </c:tx>
              <c:numFmt formatCode="General" sourceLinked="1"/>
              <c:spPr>
                <a:noFill/>
                <a:ln>
                  <a:noFill/>
                </a:ln>
                <a:effectLst/>
              </c:spPr>
              <c:txPr>
                <a:bodyPr rot="0" spcFirstLastPara="1" vertOverflow="ellipsis" vert="horz" wrap="square" lIns="38100" tIns="19050" rIns="38100" bIns="19050" anchor="ctr" anchorCtr="1"/>
                <a:lstStyle/>
                <a:p>
                  <a:pPr>
                    <a:defRPr lang="zh-CN" sz="800" b="1" i="0" u="none" strike="noStrike" kern="1200" baseline="0">
                      <a:solidFill>
                        <a:schemeClr val="bg1"/>
                      </a:solidFill>
                      <a:latin typeface="Times New Roman" panose="02020603050405020304" charset="0"/>
                      <a:ea typeface="+mn-ea"/>
                      <a:cs typeface="Times New Roman" panose="02020603050405020304" charset="0"/>
                      <a:sym typeface="+mn-lt"/>
                    </a:defRPr>
                  </a:pPr>
                </a:p>
              </c:txPr>
              <c:dLblPos val="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124007936507937"/>
                  <c:y val="-0.00631313131313138"/>
                </c:manualLayout>
              </c:layout>
              <c:numFmt formatCode="General" sourceLinked="1"/>
              <c:spPr>
                <a:noFill/>
                <a:ln>
                  <a:noFill/>
                </a:ln>
                <a:effectLst/>
              </c:spPr>
              <c:txPr>
                <a:bodyPr rot="0" spcFirstLastPara="1" vertOverflow="ellipsis" vert="horz" wrap="square" lIns="38100" tIns="19050" rIns="38100" bIns="19050" anchor="ctr" anchorCtr="1"/>
                <a:lstStyle/>
                <a:p>
                  <a:pPr>
                    <a:defRPr lang="zh-CN" sz="800" b="1" i="0" u="none" strike="noStrike" kern="1200" baseline="0">
                      <a:solidFill>
                        <a:schemeClr val="bg1"/>
                      </a:solidFill>
                      <a:latin typeface="Times New Roman" panose="02020603050405020304" charset="0"/>
                      <a:ea typeface="+mn-ea"/>
                      <a:cs typeface="Times New Roman" panose="02020603050405020304" charset="0"/>
                      <a:sym typeface="+mn-lt"/>
                    </a:defRPr>
                  </a:pPr>
                </a:p>
              </c:txPr>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lstStyle/>
              <a:p>
                <a:pPr>
                  <a:defRPr lang="zh-CN" sz="800" b="0" i="0" u="none" strike="noStrike" kern="1200" baseline="0">
                    <a:solidFill>
                      <a:schemeClr val="bg1"/>
                    </a:solidFill>
                    <a:latin typeface="Times New Roman" panose="02020603050405020304" charset="0"/>
                    <a:ea typeface="+mn-ea"/>
                    <a:cs typeface="Times New Roman" panose="02020603050405020304" charset="0"/>
                    <a:sym typeface="+mn-lt"/>
                  </a:defRPr>
                </a:pPr>
              </a:p>
            </c:txPr>
            <c:dLblPos val="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numRef>
              <c:f>Sheet1!$B$252:$F$252</c:f>
              <c:numCache>
                <c:formatCode>General</c:formatCode>
                <c:ptCount val="5"/>
                <c:pt idx="0">
                  <c:v>2021</c:v>
                </c:pt>
                <c:pt idx="1">
                  <c:v>2022</c:v>
                </c:pt>
                <c:pt idx="2">
                  <c:v>2023</c:v>
                </c:pt>
                <c:pt idx="3">
                  <c:v>2024</c:v>
                </c:pt>
                <c:pt idx="4">
                  <c:v>2025</c:v>
                </c:pt>
              </c:numCache>
            </c:numRef>
          </c:cat>
          <c:val>
            <c:numRef>
              <c:f>Sheet1!$B$255:$F$255</c:f>
              <c:numCache>
                <c:formatCode>0%</c:formatCode>
                <c:ptCount val="5"/>
                <c:pt idx="0">
                  <c:v>0.53</c:v>
                </c:pt>
                <c:pt idx="1">
                  <c:v>0.600000000000003</c:v>
                </c:pt>
                <c:pt idx="2">
                  <c:v>0.670000000000004</c:v>
                </c:pt>
                <c:pt idx="3">
                  <c:v>0.770000000000003</c:v>
                </c:pt>
                <c:pt idx="4">
                  <c:v>0.870000000000003</c:v>
                </c:pt>
              </c:numCache>
            </c:numRef>
          </c:val>
          <c:smooth val="0"/>
        </c:ser>
        <c:dLbls>
          <c:showLegendKey val="0"/>
          <c:showVal val="1"/>
          <c:showCatName val="0"/>
          <c:showSerName val="0"/>
          <c:showPercent val="0"/>
          <c:showBubbleSize val="0"/>
        </c:dLbls>
        <c:marker val="0"/>
        <c:smooth val="0"/>
        <c:axId val="313397248"/>
        <c:axId val="313398784"/>
      </c:lineChart>
      <c:catAx>
        <c:axId val="3133972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8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sym typeface="+mn-lt"/>
              </a:defRPr>
            </a:pPr>
          </a:p>
        </c:txPr>
        <c:crossAx val="313398784"/>
        <c:crosses val="autoZero"/>
        <c:auto val="1"/>
        <c:lblAlgn val="ctr"/>
        <c:lblOffset val="100"/>
        <c:noMultiLvlLbl val="0"/>
      </c:catAx>
      <c:valAx>
        <c:axId val="313398784"/>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8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sym typeface="+mn-lt"/>
              </a:defRPr>
            </a:pPr>
          </a:p>
        </c:txPr>
        <c:crossAx val="313397248"/>
        <c:crosses val="autoZero"/>
        <c:crossBetween val="between"/>
      </c:valAx>
      <c:spPr>
        <a:noFill/>
        <a:ln>
          <a:noFill/>
        </a:ln>
        <a:effectLst/>
      </c:spPr>
    </c:plotArea>
    <c:legend>
      <c:legendPos val="b"/>
      <c:layout>
        <c:manualLayout>
          <c:xMode val="edge"/>
          <c:yMode val="edge"/>
          <c:x val="0.101054526748971"/>
          <c:y val="0.778801521337611"/>
          <c:w val="0.800462962962959"/>
          <c:h val="0.120889836687081"/>
        </c:manualLayout>
      </c:layout>
      <c:overlay val="0"/>
      <c:spPr>
        <a:noFill/>
        <a:ln>
          <a:noFill/>
        </a:ln>
        <a:effectLst/>
      </c:spPr>
      <c:txPr>
        <a:bodyPr rot="0" spcFirstLastPara="1" vertOverflow="ellipsis" vert="horz" wrap="square" anchor="ctr" anchorCtr="1"/>
        <a:lstStyle/>
        <a:p>
          <a:pPr>
            <a:defRPr lang="zh-CN" sz="800" b="0" i="0" u="none" strike="noStrike" kern="1200" baseline="0">
              <a:solidFill>
                <a:schemeClr val="tx1">
                  <a:lumMod val="65000"/>
                  <a:lumOff val="35000"/>
                </a:schemeClr>
              </a:solidFill>
              <a:latin typeface="+mn-lt"/>
              <a:ea typeface="+mn-ea"/>
              <a:cs typeface="+mn-ea"/>
              <a:sym typeface="+mn-lt"/>
            </a:defRPr>
          </a:pPr>
        </a:p>
      </c:txPr>
    </c:legend>
    <c:plotVisOnly val="1"/>
    <c:dispBlanksAs val="gap"/>
    <c:showDLblsOverMax val="0"/>
  </c:chart>
  <c:spPr>
    <a:noFill/>
    <a:ln w="6350" cap="flat" cmpd="sng" algn="ctr">
      <a:noFill/>
      <a:prstDash val="solid"/>
      <a:round/>
    </a:ln>
    <a:effectLst/>
  </c:spPr>
  <c:txPr>
    <a:bodyPr/>
    <a:lstStyle/>
    <a:p>
      <a:pPr>
        <a:defRPr lang="zh-CN" sz="1400" baseline="0">
          <a:latin typeface="+mn-lt"/>
          <a:ea typeface="+mn-ea"/>
          <a:cs typeface="+mn-ea"/>
          <a:sym typeface="+mn-lt"/>
        </a:defRPr>
      </a:pPr>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Sheet1!$A$270</c:f>
              <c:strCache>
                <c:ptCount val="1"/>
                <c:pt idx="0">
                  <c:v>出租车总保有量预计（万辆）</c:v>
                </c:pt>
              </c:strCache>
            </c:strRef>
          </c:tx>
          <c:spPr>
            <a:solidFill>
              <a:srgbClr val="FFC000"/>
            </a:solidFill>
            <a:ln>
              <a:noFill/>
            </a:ln>
            <a:effectLst/>
          </c:spPr>
          <c:invertIfNegative val="0"/>
          <c:dLbls>
            <c:spPr>
              <a:noFill/>
              <a:ln>
                <a:noFill/>
              </a:ln>
              <a:effectLst/>
            </c:spPr>
            <c:txPr>
              <a:bodyPr rot="0" spcFirstLastPara="1" vertOverflow="ellipsis" vert="horz" wrap="square" lIns="38100" tIns="19050" rIns="38100" bIns="19050" anchor="ctr" anchorCtr="1"/>
              <a:lstStyle/>
              <a:p>
                <a:pPr>
                  <a:defRPr lang="zh-CN" sz="800" b="0" i="0" u="none" strike="noStrike" kern="1200" baseline="0">
                    <a:solidFill>
                      <a:schemeClr val="tx1">
                        <a:lumMod val="75000"/>
                        <a:lumOff val="25000"/>
                      </a:schemeClr>
                    </a:solidFill>
                    <a:latin typeface="Times New Roman" panose="02020603050405020304" charset="0"/>
                    <a:ea typeface="+mn-ea"/>
                    <a:cs typeface="Times New Roman" panose="02020603050405020304" charset="0"/>
                    <a:sym typeface="+mn-lt"/>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numRef>
              <c:f>Sheet1!$B$269:$F$269</c:f>
              <c:numCache>
                <c:formatCode>General</c:formatCode>
                <c:ptCount val="5"/>
                <c:pt idx="0">
                  <c:v>2021</c:v>
                </c:pt>
                <c:pt idx="1">
                  <c:v>2022</c:v>
                </c:pt>
                <c:pt idx="2">
                  <c:v>2023</c:v>
                </c:pt>
                <c:pt idx="3">
                  <c:v>2024</c:v>
                </c:pt>
                <c:pt idx="4">
                  <c:v>2025</c:v>
                </c:pt>
              </c:numCache>
            </c:numRef>
          </c:cat>
          <c:val>
            <c:numRef>
              <c:f>Sheet1!$B$270:$F$270</c:f>
              <c:numCache>
                <c:formatCode>General</c:formatCode>
                <c:ptCount val="5"/>
                <c:pt idx="0">
                  <c:v>4.2</c:v>
                </c:pt>
                <c:pt idx="1">
                  <c:v>4.4</c:v>
                </c:pt>
                <c:pt idx="2">
                  <c:v>4.7</c:v>
                </c:pt>
                <c:pt idx="3">
                  <c:v>4.9</c:v>
                </c:pt>
                <c:pt idx="4">
                  <c:v>5.1</c:v>
                </c:pt>
              </c:numCache>
            </c:numRef>
          </c:val>
        </c:ser>
        <c:ser>
          <c:idx val="1"/>
          <c:order val="1"/>
          <c:tx>
            <c:strRef>
              <c:f>Sheet1!$A$271</c:f>
              <c:strCache>
                <c:ptCount val="1"/>
                <c:pt idx="0">
                  <c:v>电动出租车保有量(万辆)</c:v>
                </c:pt>
              </c:strCache>
            </c:strRef>
          </c:tx>
          <c:spPr>
            <a:solidFill>
              <a:srgbClr val="00706B"/>
            </a:solidFill>
            <a:ln>
              <a:solidFill>
                <a:srgbClr val="317D7D"/>
              </a:solidFill>
            </a:ln>
            <a:effectLst/>
          </c:spPr>
          <c:invertIfNegative val="0"/>
          <c:dLbls>
            <c:spPr>
              <a:noFill/>
              <a:ln>
                <a:noFill/>
              </a:ln>
              <a:effectLst/>
            </c:spPr>
            <c:txPr>
              <a:bodyPr rot="0" spcFirstLastPara="1" vertOverflow="ellipsis" vert="horz" wrap="square" lIns="38100" tIns="19050" rIns="38100" bIns="19050" anchor="ctr" anchorCtr="1"/>
              <a:lstStyle/>
              <a:p>
                <a:pPr>
                  <a:defRPr lang="zh-CN" sz="800" b="0" i="0" u="none" strike="noStrike" kern="1200" baseline="0">
                    <a:solidFill>
                      <a:schemeClr val="tx1">
                        <a:lumMod val="75000"/>
                        <a:lumOff val="25000"/>
                      </a:schemeClr>
                    </a:solidFill>
                    <a:latin typeface="Times New Roman" panose="02020603050405020304" charset="0"/>
                    <a:ea typeface="+mn-ea"/>
                    <a:cs typeface="Times New Roman" panose="02020603050405020304" charset="0"/>
                    <a:sym typeface="+mn-lt"/>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numRef>
              <c:f>Sheet1!$B$269:$F$269</c:f>
              <c:numCache>
                <c:formatCode>General</c:formatCode>
                <c:ptCount val="5"/>
                <c:pt idx="0">
                  <c:v>2021</c:v>
                </c:pt>
                <c:pt idx="1">
                  <c:v>2022</c:v>
                </c:pt>
                <c:pt idx="2">
                  <c:v>2023</c:v>
                </c:pt>
                <c:pt idx="3">
                  <c:v>2024</c:v>
                </c:pt>
                <c:pt idx="4">
                  <c:v>2025</c:v>
                </c:pt>
              </c:numCache>
            </c:numRef>
          </c:cat>
          <c:val>
            <c:numRef>
              <c:f>Sheet1!$B$271:$F$271</c:f>
              <c:numCache>
                <c:formatCode>General</c:formatCode>
                <c:ptCount val="5"/>
                <c:pt idx="0">
                  <c:v>1.5</c:v>
                </c:pt>
                <c:pt idx="1">
                  <c:v>1.8</c:v>
                </c:pt>
                <c:pt idx="2">
                  <c:v>2.1</c:v>
                </c:pt>
                <c:pt idx="3">
                  <c:v>2.5</c:v>
                </c:pt>
                <c:pt idx="4">
                  <c:v>3</c:v>
                </c:pt>
              </c:numCache>
            </c:numRef>
          </c:val>
        </c:ser>
        <c:dLbls>
          <c:showLegendKey val="0"/>
          <c:showVal val="1"/>
          <c:showCatName val="0"/>
          <c:showSerName val="0"/>
          <c:showPercent val="0"/>
          <c:showBubbleSize val="0"/>
        </c:dLbls>
        <c:gapWidth val="219"/>
        <c:overlap val="-27"/>
        <c:axId val="313420032"/>
        <c:axId val="313438208"/>
      </c:barChart>
      <c:lineChart>
        <c:grouping val="standard"/>
        <c:varyColors val="0"/>
        <c:ser>
          <c:idx val="2"/>
          <c:order val="2"/>
          <c:tx>
            <c:strRef>
              <c:f>Sheet1!$A$272</c:f>
              <c:strCache>
                <c:ptCount val="1"/>
                <c:pt idx="0">
                  <c:v>占比</c:v>
                </c:pt>
              </c:strCache>
            </c:strRef>
          </c:tx>
          <c:spPr>
            <a:ln w="28575" cap="rnd" cmpd="sng" algn="ctr">
              <a:solidFill>
                <a:schemeClr val="accent3"/>
              </a:solidFill>
              <a:prstDash val="solid"/>
              <a:round/>
            </a:ln>
            <a:effectLst/>
          </c:spPr>
          <c:marker>
            <c:symbol val="none"/>
          </c:marker>
          <c:dLbls>
            <c:dLbl>
              <c:idx val="0"/>
              <c:layout>
                <c:manualLayout>
                  <c:x val="-0.00662747815063092"/>
                  <c:y val="-0.00346469057448663"/>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662747815063097"/>
                  <c:y val="0"/>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441831876708728"/>
                  <c:y val="-2.7281028151916e-7"/>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662747815063084"/>
                  <c:y val="-6.35185934267108e-17"/>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662747815063092"/>
                  <c:y val="6.35185934267108e-17"/>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lstStyle/>
              <a:p>
                <a:pPr>
                  <a:defRPr lang="zh-CN" sz="800" b="1" i="0" u="none" strike="noStrike" kern="1200" baseline="0">
                    <a:solidFill>
                      <a:schemeClr val="bg1"/>
                    </a:solidFill>
                    <a:latin typeface="Times New Roman" panose="02020603050405020304" charset="0"/>
                    <a:ea typeface="+mn-ea"/>
                    <a:cs typeface="Times New Roman" panose="02020603050405020304" charset="0"/>
                    <a:sym typeface="+mn-lt"/>
                  </a:defRPr>
                </a:pPr>
              </a:p>
            </c:txPr>
            <c:dLblPos val="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numRef>
              <c:f>Sheet1!$B$269:$F$269</c:f>
              <c:numCache>
                <c:formatCode>General</c:formatCode>
                <c:ptCount val="5"/>
                <c:pt idx="0">
                  <c:v>2021</c:v>
                </c:pt>
                <c:pt idx="1">
                  <c:v>2022</c:v>
                </c:pt>
                <c:pt idx="2">
                  <c:v>2023</c:v>
                </c:pt>
                <c:pt idx="3">
                  <c:v>2024</c:v>
                </c:pt>
                <c:pt idx="4">
                  <c:v>2025</c:v>
                </c:pt>
              </c:numCache>
            </c:numRef>
          </c:cat>
          <c:val>
            <c:numRef>
              <c:f>Sheet1!$B$272:$F$272</c:f>
              <c:numCache>
                <c:formatCode>0%</c:formatCode>
                <c:ptCount val="5"/>
                <c:pt idx="0">
                  <c:v>0.35</c:v>
                </c:pt>
                <c:pt idx="1">
                  <c:v>0.4</c:v>
                </c:pt>
                <c:pt idx="2">
                  <c:v>0.45</c:v>
                </c:pt>
                <c:pt idx="3">
                  <c:v>0.51</c:v>
                </c:pt>
                <c:pt idx="4">
                  <c:v>0.59</c:v>
                </c:pt>
              </c:numCache>
            </c:numRef>
          </c:val>
          <c:smooth val="0"/>
        </c:ser>
        <c:dLbls>
          <c:showLegendKey val="0"/>
          <c:showVal val="1"/>
          <c:showCatName val="0"/>
          <c:showSerName val="0"/>
          <c:showPercent val="0"/>
          <c:showBubbleSize val="0"/>
        </c:dLbls>
        <c:marker val="0"/>
        <c:smooth val="0"/>
        <c:axId val="313420032"/>
        <c:axId val="313438208"/>
      </c:lineChart>
      <c:catAx>
        <c:axId val="3134200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8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sym typeface="+mn-lt"/>
              </a:defRPr>
            </a:pPr>
          </a:p>
        </c:txPr>
        <c:crossAx val="313438208"/>
        <c:crosses val="autoZero"/>
        <c:auto val="1"/>
        <c:lblAlgn val="ctr"/>
        <c:lblOffset val="100"/>
        <c:noMultiLvlLbl val="0"/>
      </c:catAx>
      <c:valAx>
        <c:axId val="31343820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8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sym typeface="+mn-lt"/>
              </a:defRPr>
            </a:pPr>
          </a:p>
        </c:txPr>
        <c:crossAx val="31342003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800" b="0" i="0" u="none" strike="noStrike" kern="1200" baseline="0">
              <a:solidFill>
                <a:schemeClr val="tx1">
                  <a:lumMod val="65000"/>
                  <a:lumOff val="35000"/>
                </a:schemeClr>
              </a:solidFill>
              <a:latin typeface="+mn-lt"/>
              <a:ea typeface="+mn-ea"/>
              <a:cs typeface="+mn-ea"/>
              <a:sym typeface="+mn-lt"/>
            </a:defRPr>
          </a:pPr>
        </a:p>
      </c:txPr>
    </c:legend>
    <c:plotVisOnly val="1"/>
    <c:dispBlanksAs val="gap"/>
    <c:showDLblsOverMax val="0"/>
  </c:chart>
  <c:spPr>
    <a:noFill/>
    <a:ln w="6350" cap="flat" cmpd="sng" algn="ctr">
      <a:noFill/>
      <a:prstDash val="solid"/>
      <a:round/>
    </a:ln>
    <a:effectLst/>
  </c:spPr>
  <c:txPr>
    <a:bodyPr/>
    <a:lstStyle/>
    <a:p>
      <a:pPr>
        <a:defRPr lang="zh-CN" sz="1400" baseline="0">
          <a:latin typeface="+mn-lt"/>
          <a:ea typeface="+mn-ea"/>
          <a:cs typeface="+mn-ea"/>
          <a:sym typeface="+mn-lt"/>
        </a:defRPr>
      </a:pPr>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Sheet1!$A$299</c:f>
              <c:strCache>
                <c:ptCount val="1"/>
                <c:pt idx="0">
                  <c:v>客运班车、旅游客车总保有量预计（万辆）</c:v>
                </c:pt>
              </c:strCache>
            </c:strRef>
          </c:tx>
          <c:spPr>
            <a:solidFill>
              <a:srgbClr val="FFC000"/>
            </a:solidFill>
            <a:ln>
              <a:noFill/>
            </a:ln>
            <a:effectLst/>
          </c:spPr>
          <c:invertIfNegative val="0"/>
          <c:dLbls>
            <c:spPr>
              <a:noFill/>
              <a:ln>
                <a:noFill/>
              </a:ln>
              <a:effectLst/>
            </c:spPr>
            <c:txPr>
              <a:bodyPr rot="0" spcFirstLastPara="1" vertOverflow="ellipsis" vert="horz" wrap="square" lIns="38100" tIns="19050" rIns="38100" bIns="19050" anchor="ctr" anchorCtr="1"/>
              <a:lstStyle/>
              <a:p>
                <a:pPr>
                  <a:defRPr lang="zh-CN" sz="800" b="0" i="0" u="none" strike="noStrike" kern="1200" baseline="0">
                    <a:solidFill>
                      <a:schemeClr val="tx1">
                        <a:lumMod val="75000"/>
                        <a:lumOff val="25000"/>
                      </a:schemeClr>
                    </a:solidFill>
                    <a:latin typeface="Times New Roman" panose="02020603050405020304" charset="0"/>
                    <a:ea typeface="+mn-ea"/>
                    <a:cs typeface="Times New Roman" panose="02020603050405020304" charset="0"/>
                    <a:sym typeface="+mn-lt"/>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numRef>
              <c:f>Sheet1!$B$298:$F$298</c:f>
              <c:numCache>
                <c:formatCode>General</c:formatCode>
                <c:ptCount val="5"/>
                <c:pt idx="0">
                  <c:v>2021</c:v>
                </c:pt>
                <c:pt idx="1">
                  <c:v>2022</c:v>
                </c:pt>
                <c:pt idx="2">
                  <c:v>2023</c:v>
                </c:pt>
                <c:pt idx="3">
                  <c:v>2024</c:v>
                </c:pt>
                <c:pt idx="4">
                  <c:v>2025</c:v>
                </c:pt>
              </c:numCache>
            </c:numRef>
          </c:cat>
          <c:val>
            <c:numRef>
              <c:f>Sheet1!$B$299:$F$299</c:f>
              <c:numCache>
                <c:formatCode>General</c:formatCode>
                <c:ptCount val="5"/>
                <c:pt idx="0">
                  <c:v>2.1</c:v>
                </c:pt>
                <c:pt idx="1">
                  <c:v>2.2</c:v>
                </c:pt>
                <c:pt idx="2">
                  <c:v>2.3</c:v>
                </c:pt>
                <c:pt idx="3">
                  <c:v>2.4</c:v>
                </c:pt>
                <c:pt idx="4">
                  <c:v>2.5</c:v>
                </c:pt>
              </c:numCache>
            </c:numRef>
          </c:val>
        </c:ser>
        <c:ser>
          <c:idx val="1"/>
          <c:order val="1"/>
          <c:tx>
            <c:strRef>
              <c:f>Sheet1!$A$300</c:f>
              <c:strCache>
                <c:ptCount val="1"/>
                <c:pt idx="0">
                  <c:v>电动客运班车、旅游客车总保有量预计（万辆）</c:v>
                </c:pt>
              </c:strCache>
            </c:strRef>
          </c:tx>
          <c:spPr>
            <a:solidFill>
              <a:srgbClr val="00706B"/>
            </a:solidFill>
            <a:ln>
              <a:noFill/>
            </a:ln>
            <a:effectLst/>
          </c:spPr>
          <c:invertIfNegative val="0"/>
          <c:dLbls>
            <c:spPr>
              <a:noFill/>
              <a:ln>
                <a:noFill/>
              </a:ln>
              <a:effectLst/>
            </c:spPr>
            <c:txPr>
              <a:bodyPr rot="0" spcFirstLastPara="1" vertOverflow="ellipsis" vert="horz" wrap="square" lIns="38100" tIns="19050" rIns="38100" bIns="19050" anchor="ctr" anchorCtr="1"/>
              <a:lstStyle/>
              <a:p>
                <a:pPr>
                  <a:defRPr lang="zh-CN" sz="800" b="0" i="0" u="none" strike="noStrike" kern="1200" baseline="0">
                    <a:solidFill>
                      <a:schemeClr val="tx1">
                        <a:lumMod val="75000"/>
                        <a:lumOff val="25000"/>
                      </a:schemeClr>
                    </a:solidFill>
                    <a:latin typeface="Times New Roman" panose="02020603050405020304" charset="0"/>
                    <a:ea typeface="+mn-ea"/>
                    <a:cs typeface="Times New Roman" panose="02020603050405020304" charset="0"/>
                    <a:sym typeface="+mn-lt"/>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numRef>
              <c:f>Sheet1!$B$298:$F$298</c:f>
              <c:numCache>
                <c:formatCode>General</c:formatCode>
                <c:ptCount val="5"/>
                <c:pt idx="0">
                  <c:v>2021</c:v>
                </c:pt>
                <c:pt idx="1">
                  <c:v>2022</c:v>
                </c:pt>
                <c:pt idx="2">
                  <c:v>2023</c:v>
                </c:pt>
                <c:pt idx="3">
                  <c:v>2024</c:v>
                </c:pt>
                <c:pt idx="4">
                  <c:v>2025</c:v>
                </c:pt>
              </c:numCache>
            </c:numRef>
          </c:cat>
          <c:val>
            <c:numRef>
              <c:f>Sheet1!$B$300:$F$300</c:f>
              <c:numCache>
                <c:formatCode>General</c:formatCode>
                <c:ptCount val="5"/>
                <c:pt idx="0">
                  <c:v>0.05</c:v>
                </c:pt>
                <c:pt idx="1">
                  <c:v>0.15</c:v>
                </c:pt>
                <c:pt idx="2">
                  <c:v>0.3</c:v>
                </c:pt>
                <c:pt idx="3">
                  <c:v>0.45</c:v>
                </c:pt>
                <c:pt idx="4">
                  <c:v>0.600000000000003</c:v>
                </c:pt>
              </c:numCache>
            </c:numRef>
          </c:val>
        </c:ser>
        <c:dLbls>
          <c:showLegendKey val="0"/>
          <c:showVal val="1"/>
          <c:showCatName val="0"/>
          <c:showSerName val="0"/>
          <c:showPercent val="0"/>
          <c:showBubbleSize val="0"/>
        </c:dLbls>
        <c:gapWidth val="219"/>
        <c:overlap val="-27"/>
        <c:axId val="313489280"/>
        <c:axId val="313490816"/>
      </c:barChart>
      <c:lineChart>
        <c:grouping val="standard"/>
        <c:varyColors val="0"/>
        <c:ser>
          <c:idx val="2"/>
          <c:order val="2"/>
          <c:tx>
            <c:strRef>
              <c:f>Sheet1!$A$301</c:f>
              <c:strCache>
                <c:ptCount val="1"/>
                <c:pt idx="0">
                  <c:v>占比</c:v>
                </c:pt>
              </c:strCache>
            </c:strRef>
          </c:tx>
          <c:spPr>
            <a:ln w="28575" cap="rnd" cmpd="sng" algn="ctr">
              <a:solidFill>
                <a:schemeClr val="accent3"/>
              </a:solidFill>
              <a:prstDash val="solid"/>
              <a:round/>
            </a:ln>
            <a:effectLst/>
          </c:spPr>
          <c:marker>
            <c:symbol val="none"/>
          </c:marker>
          <c:dLbls>
            <c:dLbl>
              <c:idx val="0"/>
              <c:layout>
                <c:manualLayout>
                  <c:x val="-0.0144560896277557"/>
                  <c:y val="-0.0541565123206066"/>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lstStyle/>
              <a:p>
                <a:pPr>
                  <a:defRPr lang="zh-CN" sz="800" b="1" i="0" u="none" strike="noStrike" kern="1200" baseline="0">
                    <a:solidFill>
                      <a:schemeClr val="tx1">
                        <a:lumMod val="75000"/>
                        <a:lumOff val="25000"/>
                      </a:schemeClr>
                    </a:solidFill>
                    <a:latin typeface="Times New Roman" panose="02020603050405020304" charset="0"/>
                    <a:ea typeface="+mn-ea"/>
                    <a:cs typeface="Times New Roman" panose="02020603050405020304" charset="0"/>
                    <a:sym typeface="+mn-lt"/>
                  </a:defRPr>
                </a:pPr>
              </a:p>
            </c:txPr>
            <c:dLblPos val="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numRef>
              <c:f>Sheet1!$B$298:$F$298</c:f>
              <c:numCache>
                <c:formatCode>General</c:formatCode>
                <c:ptCount val="5"/>
                <c:pt idx="0">
                  <c:v>2021</c:v>
                </c:pt>
                <c:pt idx="1">
                  <c:v>2022</c:v>
                </c:pt>
                <c:pt idx="2">
                  <c:v>2023</c:v>
                </c:pt>
                <c:pt idx="3">
                  <c:v>2024</c:v>
                </c:pt>
                <c:pt idx="4">
                  <c:v>2025</c:v>
                </c:pt>
              </c:numCache>
            </c:numRef>
          </c:cat>
          <c:val>
            <c:numRef>
              <c:f>Sheet1!$B$301:$F$301</c:f>
              <c:numCache>
                <c:formatCode>0%</c:formatCode>
                <c:ptCount val="5"/>
                <c:pt idx="0">
                  <c:v>0.03</c:v>
                </c:pt>
                <c:pt idx="1">
                  <c:v>0.07</c:v>
                </c:pt>
                <c:pt idx="2">
                  <c:v>0.13</c:v>
                </c:pt>
                <c:pt idx="3">
                  <c:v>0.18</c:v>
                </c:pt>
                <c:pt idx="4">
                  <c:v>0.24</c:v>
                </c:pt>
              </c:numCache>
            </c:numRef>
          </c:val>
          <c:smooth val="0"/>
        </c:ser>
        <c:dLbls>
          <c:showLegendKey val="0"/>
          <c:showVal val="1"/>
          <c:showCatName val="0"/>
          <c:showSerName val="0"/>
          <c:showPercent val="0"/>
          <c:showBubbleSize val="0"/>
        </c:dLbls>
        <c:marker val="0"/>
        <c:smooth val="0"/>
        <c:axId val="313513088"/>
        <c:axId val="313514624"/>
      </c:lineChart>
      <c:catAx>
        <c:axId val="3134892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8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sym typeface="+mn-lt"/>
              </a:defRPr>
            </a:pPr>
          </a:p>
        </c:txPr>
        <c:crossAx val="313490816"/>
        <c:crosses val="autoZero"/>
        <c:auto val="1"/>
        <c:lblAlgn val="ctr"/>
        <c:lblOffset val="100"/>
        <c:noMultiLvlLbl val="0"/>
      </c:catAx>
      <c:valAx>
        <c:axId val="31349081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8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sym typeface="+mn-lt"/>
              </a:defRPr>
            </a:pPr>
          </a:p>
        </c:txPr>
        <c:crossAx val="313489280"/>
        <c:crosses val="autoZero"/>
        <c:crossBetween val="between"/>
      </c:valAx>
      <c:catAx>
        <c:axId val="313513088"/>
        <c:scaling>
          <c:orientation val="minMax"/>
        </c:scaling>
        <c:delete val="1"/>
        <c:axPos val="b"/>
        <c:numFmt formatCode="General" sourceLinked="1"/>
        <c:majorTickMark val="none"/>
        <c:minorTickMark val="none"/>
        <c:tickLblPos val="nextTo"/>
        <c:txPr>
          <a:bodyPr rot="-60000000" spcFirstLastPara="0" vertOverflow="ellipsis" vert="horz" wrap="square" anchor="ctr" anchorCtr="1"/>
          <a:lstStyle/>
          <a:p>
            <a:pPr>
              <a:defRPr lang="zh-CN" sz="1400" b="0" i="0" u="none" strike="noStrike" kern="1200" baseline="0">
                <a:solidFill>
                  <a:schemeClr val="tx1"/>
                </a:solidFill>
                <a:latin typeface="+mn-lt"/>
                <a:ea typeface="+mn-ea"/>
                <a:cs typeface="+mn-ea"/>
                <a:sym typeface="+mn-lt"/>
              </a:defRPr>
            </a:pPr>
          </a:p>
        </c:txPr>
        <c:crossAx val="313514624"/>
        <c:crosses val="autoZero"/>
        <c:auto val="1"/>
        <c:lblAlgn val="ctr"/>
        <c:lblOffset val="100"/>
        <c:noMultiLvlLbl val="0"/>
      </c:catAx>
      <c:valAx>
        <c:axId val="313514624"/>
        <c:scaling>
          <c:orientation val="minMax"/>
        </c:scaling>
        <c:delete val="0"/>
        <c:axPos val="r"/>
        <c:numFmt formatCode="0%"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8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sym typeface="+mn-lt"/>
              </a:defRPr>
            </a:pPr>
          </a:p>
        </c:txPr>
        <c:crossAx val="313513088"/>
        <c:crosses val="max"/>
        <c:crossBetween val="between"/>
      </c:valAx>
      <c:spPr>
        <a:noFill/>
        <a:ln>
          <a:noFill/>
        </a:ln>
        <a:effectLst/>
      </c:spPr>
    </c:plotArea>
    <c:legend>
      <c:legendPos val="b"/>
      <c:layout>
        <c:manualLayout>
          <c:xMode val="edge"/>
          <c:yMode val="edge"/>
          <c:x val="0.276472714130828"/>
          <c:y val="0.743839696723532"/>
          <c:w val="0.467413564630767"/>
          <c:h val="0.220958570268075"/>
        </c:manualLayout>
      </c:layout>
      <c:overlay val="0"/>
      <c:spPr>
        <a:noFill/>
        <a:ln>
          <a:noFill/>
        </a:ln>
        <a:effectLst/>
      </c:spPr>
      <c:txPr>
        <a:bodyPr rot="0" spcFirstLastPara="1" vertOverflow="ellipsis" vert="horz" wrap="square" anchor="ctr" anchorCtr="1"/>
        <a:lstStyle/>
        <a:p>
          <a:pPr>
            <a:defRPr lang="zh-CN" sz="800" b="0" i="0" u="none" strike="noStrike" kern="1200" baseline="0">
              <a:solidFill>
                <a:schemeClr val="tx1">
                  <a:lumMod val="65000"/>
                  <a:lumOff val="35000"/>
                </a:schemeClr>
              </a:solidFill>
              <a:latin typeface="+mn-lt"/>
              <a:ea typeface="+mn-ea"/>
              <a:cs typeface="+mn-ea"/>
              <a:sym typeface="+mn-lt"/>
            </a:defRPr>
          </a:pPr>
        </a:p>
      </c:txPr>
    </c:legend>
    <c:plotVisOnly val="1"/>
    <c:dispBlanksAs val="gap"/>
    <c:showDLblsOverMax val="0"/>
  </c:chart>
  <c:spPr>
    <a:noFill/>
    <a:ln w="6350" cap="flat" cmpd="sng" algn="ctr">
      <a:noFill/>
      <a:prstDash val="solid"/>
      <a:round/>
    </a:ln>
    <a:effectLst/>
  </c:spPr>
  <c:txPr>
    <a:bodyPr/>
    <a:lstStyle/>
    <a:p>
      <a:pPr>
        <a:defRPr lang="zh-CN" sz="1400" baseline="0">
          <a:latin typeface="+mn-lt"/>
          <a:ea typeface="+mn-ea"/>
          <a:cs typeface="+mn-ea"/>
          <a:sym typeface="+mn-lt"/>
        </a:defRPr>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Sheet1!$A$52</c:f>
              <c:strCache>
                <c:ptCount val="1"/>
                <c:pt idx="0">
                  <c:v>陕西地区生产总值（亿元）</c:v>
                </c:pt>
              </c:strCache>
            </c:strRef>
          </c:tx>
          <c:spPr>
            <a:ln w="22225" cap="rnd" cmpd="sng" algn="ctr">
              <a:solidFill>
                <a:srgbClr val="00706B"/>
              </a:solidFill>
              <a:prstDash val="solid"/>
              <a:round/>
            </a:ln>
            <a:effectLst/>
          </c:spPr>
          <c:marker>
            <c:symbol val="diamond"/>
            <c:size val="6"/>
            <c:spPr>
              <a:solidFill>
                <a:srgbClr val="00706B"/>
              </a:solidFill>
              <a:ln w="9525" cap="flat" cmpd="sng" algn="ctr">
                <a:solidFill>
                  <a:srgbClr val="00706B"/>
                </a:solidFill>
                <a:prstDash val="solid"/>
                <a:round/>
              </a:ln>
              <a:effectLst/>
            </c:spPr>
          </c:marker>
          <c:dLbls>
            <c:spPr>
              <a:noFill/>
              <a:ln>
                <a:noFill/>
              </a:ln>
              <a:effectLst/>
            </c:spPr>
            <c:txPr>
              <a:bodyPr rot="0" spcFirstLastPara="0" vertOverflow="ellipsis" vert="horz" wrap="square" lIns="38100" tIns="19050" rIns="38100" bIns="19050" anchor="ctr" anchorCtr="1"/>
              <a:lstStyle/>
              <a:p>
                <a:pPr>
                  <a:defRPr lang="zh-CN" sz="800" b="0" i="0" u="none" strike="noStrike" kern="1200" baseline="0">
                    <a:solidFill>
                      <a:schemeClr val="tx1"/>
                    </a:solidFill>
                    <a:latin typeface="Times New Roman" panose="02020603050405020304" charset="0"/>
                    <a:ea typeface="+mn-ea"/>
                    <a:cs typeface="Times New Roman" panose="02020603050405020304" charset="0"/>
                  </a:defRPr>
                </a:pPr>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numRef>
              <c:f>Sheet1!$B$51:$L$51</c:f>
              <c:numCache>
                <c:formatCode>General</c:formatCode>
                <c:ptCount val="11"/>
                <c:pt idx="0">
                  <c:v>2019</c:v>
                </c:pt>
                <c:pt idx="1">
                  <c:v>2018</c:v>
                </c:pt>
                <c:pt idx="2">
                  <c:v>2017</c:v>
                </c:pt>
                <c:pt idx="3">
                  <c:v>2016</c:v>
                </c:pt>
                <c:pt idx="4">
                  <c:v>2015</c:v>
                </c:pt>
                <c:pt idx="5">
                  <c:v>2014</c:v>
                </c:pt>
                <c:pt idx="6">
                  <c:v>2013</c:v>
                </c:pt>
                <c:pt idx="7">
                  <c:v>2012</c:v>
                </c:pt>
                <c:pt idx="8">
                  <c:v>2011</c:v>
                </c:pt>
                <c:pt idx="9">
                  <c:v>2010</c:v>
                </c:pt>
                <c:pt idx="10">
                  <c:v>2009</c:v>
                </c:pt>
              </c:numCache>
            </c:numRef>
          </c:cat>
          <c:val>
            <c:numRef>
              <c:f>Sheet1!$B$52:$L$52</c:f>
              <c:numCache>
                <c:formatCode>General</c:formatCode>
                <c:ptCount val="11"/>
                <c:pt idx="0">
                  <c:v>25793</c:v>
                </c:pt>
                <c:pt idx="1">
                  <c:v>23941</c:v>
                </c:pt>
                <c:pt idx="2">
                  <c:v>21898</c:v>
                </c:pt>
                <c:pt idx="3">
                  <c:v>19399</c:v>
                </c:pt>
                <c:pt idx="4">
                  <c:v>18021</c:v>
                </c:pt>
                <c:pt idx="5">
                  <c:v>17689</c:v>
                </c:pt>
                <c:pt idx="6">
                  <c:v>16205</c:v>
                </c:pt>
                <c:pt idx="7">
                  <c:v>14453</c:v>
                </c:pt>
                <c:pt idx="8">
                  <c:v>12512</c:v>
                </c:pt>
                <c:pt idx="9">
                  <c:v>10123</c:v>
                </c:pt>
                <c:pt idx="10">
                  <c:v>8169</c:v>
                </c:pt>
              </c:numCache>
            </c:numRef>
          </c:val>
          <c:smooth val="0"/>
        </c:ser>
        <c:ser>
          <c:idx val="1"/>
          <c:order val="1"/>
          <c:tx>
            <c:strRef>
              <c:f>Sheet1!$A$53</c:f>
              <c:strCache>
                <c:ptCount val="1"/>
                <c:pt idx="0">
                  <c:v>全国生产总值（亿元）</c:v>
                </c:pt>
              </c:strCache>
            </c:strRef>
          </c:tx>
          <c:spPr>
            <a:ln w="22225" cap="rnd" cmpd="sng" algn="ctr">
              <a:solidFill>
                <a:srgbClr val="FFC000"/>
              </a:solidFill>
              <a:prstDash val="solid"/>
              <a:round/>
            </a:ln>
            <a:effectLst/>
          </c:spPr>
          <c:marker>
            <c:symbol val="square"/>
            <c:size val="6"/>
            <c:spPr>
              <a:solidFill>
                <a:srgbClr val="FFC000"/>
              </a:solidFill>
              <a:ln w="9525" cap="flat" cmpd="sng" algn="ctr">
                <a:solidFill>
                  <a:srgbClr val="FFC000"/>
                </a:solidFill>
                <a:prstDash val="solid"/>
                <a:round/>
              </a:ln>
              <a:effectLst/>
            </c:spPr>
          </c:marker>
          <c:dLbls>
            <c:spPr>
              <a:noFill/>
              <a:ln>
                <a:noFill/>
              </a:ln>
              <a:effectLst/>
            </c:spPr>
            <c:txPr>
              <a:bodyPr rot="0" spcFirstLastPara="0" vertOverflow="ellipsis" vert="horz" wrap="square" lIns="38100" tIns="19050" rIns="38100" bIns="19050" anchor="ctr" anchorCtr="1"/>
              <a:lstStyle/>
              <a:p>
                <a:pPr>
                  <a:defRPr lang="zh-CN" sz="800" b="0" i="0" u="none" strike="noStrike" kern="1200" baseline="0">
                    <a:solidFill>
                      <a:schemeClr val="tx1"/>
                    </a:solidFill>
                    <a:latin typeface="Times New Roman" panose="02020603050405020304" charset="0"/>
                    <a:ea typeface="+mn-ea"/>
                    <a:cs typeface="Times New Roman" panose="02020603050405020304" charset="0"/>
                  </a:defRPr>
                </a:pPr>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numRef>
              <c:f>Sheet1!$B$51:$L$51</c:f>
              <c:numCache>
                <c:formatCode>General</c:formatCode>
                <c:ptCount val="11"/>
                <c:pt idx="0">
                  <c:v>2019</c:v>
                </c:pt>
                <c:pt idx="1">
                  <c:v>2018</c:v>
                </c:pt>
                <c:pt idx="2">
                  <c:v>2017</c:v>
                </c:pt>
                <c:pt idx="3">
                  <c:v>2016</c:v>
                </c:pt>
                <c:pt idx="4">
                  <c:v>2015</c:v>
                </c:pt>
                <c:pt idx="5">
                  <c:v>2014</c:v>
                </c:pt>
                <c:pt idx="6">
                  <c:v>2013</c:v>
                </c:pt>
                <c:pt idx="7">
                  <c:v>2012</c:v>
                </c:pt>
                <c:pt idx="8">
                  <c:v>2011</c:v>
                </c:pt>
                <c:pt idx="9">
                  <c:v>2010</c:v>
                </c:pt>
                <c:pt idx="10">
                  <c:v>2009</c:v>
                </c:pt>
              </c:numCache>
            </c:numRef>
          </c:cat>
          <c:val>
            <c:numRef>
              <c:f>Sheet1!$B$53:$L$53</c:f>
              <c:numCache>
                <c:formatCode>General</c:formatCode>
                <c:ptCount val="11"/>
                <c:pt idx="0">
                  <c:v>988528</c:v>
                </c:pt>
                <c:pt idx="1">
                  <c:v>914327</c:v>
                </c:pt>
                <c:pt idx="2">
                  <c:v>831381</c:v>
                </c:pt>
                <c:pt idx="3">
                  <c:v>743408</c:v>
                </c:pt>
                <c:pt idx="4">
                  <c:v>686255</c:v>
                </c:pt>
                <c:pt idx="5">
                  <c:v>644380</c:v>
                </c:pt>
                <c:pt idx="6">
                  <c:v>588141</c:v>
                </c:pt>
                <c:pt idx="7">
                  <c:v>537329</c:v>
                </c:pt>
                <c:pt idx="8">
                  <c:v>483392</c:v>
                </c:pt>
                <c:pt idx="9">
                  <c:v>410354</c:v>
                </c:pt>
                <c:pt idx="10">
                  <c:v>347934</c:v>
                </c:pt>
              </c:numCache>
            </c:numRef>
          </c:val>
          <c:smooth val="0"/>
        </c:ser>
        <c:dLbls>
          <c:showLegendKey val="0"/>
          <c:showVal val="1"/>
          <c:showCatName val="0"/>
          <c:showSerName val="0"/>
          <c:showPercent val="0"/>
          <c:showBubbleSize val="0"/>
        </c:dLbls>
        <c:marker val="1"/>
        <c:smooth val="0"/>
        <c:axId val="282284800"/>
        <c:axId val="282286720"/>
      </c:lineChart>
      <c:catAx>
        <c:axId val="282284800"/>
        <c:scaling>
          <c:orientation val="maxMin"/>
        </c:scaling>
        <c:delete val="0"/>
        <c:axPos val="b"/>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800" b="0" i="0" u="none" strike="noStrike" kern="1200" baseline="0">
                <a:solidFill>
                  <a:schemeClr val="tx1"/>
                </a:solidFill>
                <a:latin typeface="Times New Roman" panose="02020603050405020304" charset="0"/>
                <a:ea typeface="+mn-ea"/>
                <a:cs typeface="Times New Roman" panose="02020603050405020304" charset="0"/>
              </a:defRPr>
            </a:pPr>
          </a:p>
        </c:txPr>
        <c:crossAx val="282286720"/>
        <c:crosses val="autoZero"/>
        <c:auto val="1"/>
        <c:lblAlgn val="ctr"/>
        <c:lblOffset val="100"/>
        <c:noMultiLvlLbl val="0"/>
      </c:catAx>
      <c:valAx>
        <c:axId val="282286720"/>
        <c:scaling>
          <c:orientation val="minMax"/>
        </c:scaling>
        <c:delete val="0"/>
        <c:axPos val="r"/>
        <c:numFmt formatCode="General" sourceLinked="1"/>
        <c:majorTickMark val="none"/>
        <c:minorTickMark val="none"/>
        <c:tickLblPos val="nextTo"/>
        <c:spPr>
          <a:noFill/>
          <a:ln w="9525" cap="flat" cmpd="sng" algn="ctr">
            <a:solidFill>
              <a:schemeClr val="dk1">
                <a:lumMod val="15000"/>
                <a:lumOff val="85000"/>
              </a:schemeClr>
            </a:solidFill>
            <a:prstDash val="solid"/>
            <a:round/>
          </a:ln>
          <a:effectLst/>
        </c:spPr>
        <c:txPr>
          <a:bodyPr rot="-60000000" spcFirstLastPara="0" vertOverflow="ellipsis" vert="horz" wrap="square" anchor="ctr" anchorCtr="1"/>
          <a:lstStyle/>
          <a:p>
            <a:pPr>
              <a:defRPr lang="zh-CN" sz="800" b="0" i="0" u="none" strike="noStrike" kern="1200" baseline="0">
                <a:solidFill>
                  <a:schemeClr val="tx1"/>
                </a:solidFill>
                <a:latin typeface="Times New Roman" panose="02020603050405020304" charset="0"/>
                <a:ea typeface="+mn-ea"/>
                <a:cs typeface="Times New Roman" panose="02020603050405020304" charset="0"/>
              </a:defRPr>
            </a:pPr>
          </a:p>
        </c:txPr>
        <c:crossAx val="282284800"/>
        <c:crosses val="autoZero"/>
        <c:crossBetween val="between"/>
      </c:valAx>
      <c:spPr>
        <a:noFill/>
        <a:ln>
          <a:noFill/>
        </a:ln>
        <a:effectLst/>
      </c:spPr>
    </c:plotArea>
    <c:legend>
      <c:legendPos val="t"/>
      <c:layout/>
      <c:overlay val="0"/>
      <c:spPr>
        <a:noFill/>
        <a:ln>
          <a:noFill/>
        </a:ln>
        <a:effectLst/>
      </c:spPr>
      <c:txPr>
        <a:bodyPr rot="0" spcFirstLastPara="0" vertOverflow="ellipsis" vert="horz" wrap="square" anchor="ctr" anchorCtr="1"/>
        <a:lstStyle/>
        <a:p>
          <a:pPr>
            <a:defRPr lang="zh-CN" sz="800" b="0" i="0" u="none" strike="noStrike" kern="1200" baseline="0">
              <a:solidFill>
                <a:schemeClr val="tx1"/>
              </a:solidFill>
              <a:latin typeface="Times New Roman" panose="02020603050405020304" charset="0"/>
              <a:ea typeface="+mn-ea"/>
              <a:cs typeface="Times New Roman" panose="02020603050405020304" charset="0"/>
            </a:defRPr>
          </a:pPr>
        </a:p>
      </c:txPr>
    </c:legend>
    <c:plotVisOnly val="1"/>
    <c:dispBlanksAs val="gap"/>
    <c:showDLblsOverMax val="0"/>
  </c:chart>
  <c:spPr>
    <a:noFill/>
    <a:ln w="9525" cap="flat" cmpd="sng" algn="ctr">
      <a:noFill/>
      <a:prstDash val="solid"/>
      <a:round/>
    </a:ln>
    <a:effectLst/>
  </c:spPr>
  <c:txPr>
    <a:bodyPr/>
    <a:lstStyle/>
    <a:p>
      <a:pPr>
        <a:defRPr lang="zh-CN" sz="800">
          <a:latin typeface="Times New Roman" panose="02020603050405020304" charset="0"/>
          <a:cs typeface="Times New Roman" panose="02020603050405020304" charset="0"/>
        </a:defRPr>
      </a:pPr>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Sheet1!$A$309</c:f>
              <c:strCache>
                <c:ptCount val="1"/>
                <c:pt idx="0">
                  <c:v>网约车总保有量预计（万辆）</c:v>
                </c:pt>
              </c:strCache>
            </c:strRef>
          </c:tx>
          <c:spPr>
            <a:solidFill>
              <a:srgbClr val="FFC000"/>
            </a:solidFill>
            <a:ln>
              <a:noFill/>
            </a:ln>
            <a:effectLst/>
          </c:spPr>
          <c:invertIfNegative val="0"/>
          <c:dLbls>
            <c:spPr>
              <a:noFill/>
              <a:ln>
                <a:noFill/>
              </a:ln>
              <a:effectLst/>
            </c:spPr>
            <c:txPr>
              <a:bodyPr rot="0" spcFirstLastPara="1" vertOverflow="ellipsis" vert="horz" wrap="square" lIns="38100" tIns="19050" rIns="38100" bIns="19050" anchor="ctr" anchorCtr="1"/>
              <a:lstStyle/>
              <a:p>
                <a:pPr>
                  <a:defRPr lang="zh-CN" sz="800" b="0" i="0" u="none" strike="noStrike" kern="1200" baseline="0">
                    <a:solidFill>
                      <a:schemeClr val="tx1">
                        <a:lumMod val="75000"/>
                        <a:lumOff val="25000"/>
                      </a:schemeClr>
                    </a:solidFill>
                    <a:latin typeface="Times New Roman" panose="02020603050405020304" charset="0"/>
                    <a:ea typeface="+mn-ea"/>
                    <a:cs typeface="Times New Roman" panose="02020603050405020304" charset="0"/>
                    <a:sym typeface="+mn-lt"/>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numRef>
              <c:f>Sheet1!$B$308:$F$308</c:f>
              <c:numCache>
                <c:formatCode>General</c:formatCode>
                <c:ptCount val="5"/>
                <c:pt idx="0">
                  <c:v>2021</c:v>
                </c:pt>
                <c:pt idx="1">
                  <c:v>2022</c:v>
                </c:pt>
                <c:pt idx="2">
                  <c:v>2023</c:v>
                </c:pt>
                <c:pt idx="3">
                  <c:v>2024</c:v>
                </c:pt>
                <c:pt idx="4">
                  <c:v>2025</c:v>
                </c:pt>
              </c:numCache>
            </c:numRef>
          </c:cat>
          <c:val>
            <c:numRef>
              <c:f>Sheet1!$B$309:$F$309</c:f>
              <c:numCache>
                <c:formatCode>General</c:formatCode>
                <c:ptCount val="5"/>
                <c:pt idx="0">
                  <c:v>3.2</c:v>
                </c:pt>
                <c:pt idx="1">
                  <c:v>3.4</c:v>
                </c:pt>
                <c:pt idx="2">
                  <c:v>3.7</c:v>
                </c:pt>
                <c:pt idx="3">
                  <c:v>4</c:v>
                </c:pt>
                <c:pt idx="4">
                  <c:v>4.5</c:v>
                </c:pt>
              </c:numCache>
            </c:numRef>
          </c:val>
        </c:ser>
        <c:ser>
          <c:idx val="1"/>
          <c:order val="1"/>
          <c:tx>
            <c:strRef>
              <c:f>Sheet1!$A$310</c:f>
              <c:strCache>
                <c:ptCount val="1"/>
                <c:pt idx="0">
                  <c:v>电动网约车保有量(万辆)</c:v>
                </c:pt>
              </c:strCache>
            </c:strRef>
          </c:tx>
          <c:spPr>
            <a:solidFill>
              <a:srgbClr val="00706B"/>
            </a:solidFill>
            <a:ln>
              <a:noFill/>
            </a:ln>
            <a:effectLst/>
          </c:spPr>
          <c:invertIfNegative val="0"/>
          <c:dLbls>
            <c:spPr>
              <a:noFill/>
              <a:ln>
                <a:noFill/>
              </a:ln>
              <a:effectLst/>
            </c:spPr>
            <c:txPr>
              <a:bodyPr rot="0" spcFirstLastPara="1" vertOverflow="ellipsis" vert="horz" wrap="square" lIns="38100" tIns="19050" rIns="38100" bIns="19050" anchor="ctr" anchorCtr="1"/>
              <a:lstStyle/>
              <a:p>
                <a:pPr>
                  <a:defRPr lang="zh-CN" sz="800" b="0" i="0" u="none" strike="noStrike" kern="1200" baseline="0">
                    <a:solidFill>
                      <a:schemeClr val="tx1">
                        <a:lumMod val="75000"/>
                        <a:lumOff val="25000"/>
                      </a:schemeClr>
                    </a:solidFill>
                    <a:latin typeface="Times New Roman" panose="02020603050405020304" charset="0"/>
                    <a:ea typeface="+mn-ea"/>
                    <a:cs typeface="Times New Roman" panose="02020603050405020304" charset="0"/>
                    <a:sym typeface="+mn-lt"/>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numRef>
              <c:f>Sheet1!$B$308:$F$308</c:f>
              <c:numCache>
                <c:formatCode>General</c:formatCode>
                <c:ptCount val="5"/>
                <c:pt idx="0">
                  <c:v>2021</c:v>
                </c:pt>
                <c:pt idx="1">
                  <c:v>2022</c:v>
                </c:pt>
                <c:pt idx="2">
                  <c:v>2023</c:v>
                </c:pt>
                <c:pt idx="3">
                  <c:v>2024</c:v>
                </c:pt>
                <c:pt idx="4">
                  <c:v>2025</c:v>
                </c:pt>
              </c:numCache>
            </c:numRef>
          </c:cat>
          <c:val>
            <c:numRef>
              <c:f>Sheet1!$B$310:$F$310</c:f>
              <c:numCache>
                <c:formatCode>General</c:formatCode>
                <c:ptCount val="5"/>
                <c:pt idx="0">
                  <c:v>2</c:v>
                </c:pt>
                <c:pt idx="1">
                  <c:v>2.2</c:v>
                </c:pt>
                <c:pt idx="2">
                  <c:v>2.4</c:v>
                </c:pt>
                <c:pt idx="3">
                  <c:v>2.7</c:v>
                </c:pt>
                <c:pt idx="4">
                  <c:v>3</c:v>
                </c:pt>
              </c:numCache>
            </c:numRef>
          </c:val>
        </c:ser>
        <c:dLbls>
          <c:showLegendKey val="0"/>
          <c:showVal val="1"/>
          <c:showCatName val="0"/>
          <c:showSerName val="0"/>
          <c:showPercent val="0"/>
          <c:showBubbleSize val="0"/>
        </c:dLbls>
        <c:gapWidth val="219"/>
        <c:overlap val="-27"/>
        <c:axId val="313601408"/>
        <c:axId val="313623680"/>
      </c:barChart>
      <c:lineChart>
        <c:grouping val="standard"/>
        <c:varyColors val="0"/>
        <c:ser>
          <c:idx val="2"/>
          <c:order val="2"/>
          <c:tx>
            <c:strRef>
              <c:f>Sheet1!$A$311</c:f>
              <c:strCache>
                <c:ptCount val="1"/>
                <c:pt idx="0">
                  <c:v>占比</c:v>
                </c:pt>
              </c:strCache>
            </c:strRef>
          </c:tx>
          <c:spPr>
            <a:ln w="28575" cap="rnd" cmpd="sng" algn="ctr">
              <a:solidFill>
                <a:schemeClr val="accent3"/>
              </a:solidFill>
              <a:prstDash val="solid"/>
              <a:round/>
            </a:ln>
            <a:effectLst/>
          </c:spPr>
          <c:marker>
            <c:symbol val="none"/>
          </c:marker>
          <c:dLbls>
            <c:dLbl>
              <c:idx val="0"/>
              <c:layout>
                <c:manualLayout>
                  <c:x val="-0.0154596571607075"/>
                  <c:y val="-0.0112686031087637"/>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124986864218381"/>
                  <c:y val="0"/>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134061359808341"/>
                  <c:y val="-0.047994269340974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134061359808341"/>
                  <c:y val="-0.0626790830945559"/>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115908717960138"/>
                  <c:y val="0"/>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lstStyle/>
              <a:p>
                <a:pPr>
                  <a:defRPr lang="zh-CN" sz="800" b="0" i="0" u="none" strike="noStrike" kern="1200" baseline="0">
                    <a:solidFill>
                      <a:schemeClr val="bg1"/>
                    </a:solidFill>
                    <a:latin typeface="Times New Roman" panose="02020603050405020304" charset="0"/>
                    <a:ea typeface="+mn-ea"/>
                    <a:cs typeface="Times New Roman" panose="02020603050405020304" charset="0"/>
                    <a:sym typeface="+mn-lt"/>
                  </a:defRPr>
                </a:pPr>
              </a:p>
            </c:txPr>
            <c:dLblPos val="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numRef>
              <c:f>Sheet1!$B$308:$F$308</c:f>
              <c:numCache>
                <c:formatCode>General</c:formatCode>
                <c:ptCount val="5"/>
                <c:pt idx="0">
                  <c:v>2021</c:v>
                </c:pt>
                <c:pt idx="1">
                  <c:v>2022</c:v>
                </c:pt>
                <c:pt idx="2">
                  <c:v>2023</c:v>
                </c:pt>
                <c:pt idx="3">
                  <c:v>2024</c:v>
                </c:pt>
                <c:pt idx="4">
                  <c:v>2025</c:v>
                </c:pt>
              </c:numCache>
            </c:numRef>
          </c:cat>
          <c:val>
            <c:numRef>
              <c:f>Sheet1!$B$311:$F$311</c:f>
              <c:numCache>
                <c:formatCode>0.00%</c:formatCode>
                <c:ptCount val="5"/>
                <c:pt idx="0">
                  <c:v>0.625000000000003</c:v>
                </c:pt>
                <c:pt idx="1" c:formatCode="0%">
                  <c:v>0.650000000000003</c:v>
                </c:pt>
                <c:pt idx="2" c:formatCode="0%">
                  <c:v>0.650000000000003</c:v>
                </c:pt>
                <c:pt idx="3" c:formatCode="0%">
                  <c:v>0.670000000000004</c:v>
                </c:pt>
                <c:pt idx="4" c:formatCode="0%">
                  <c:v>0.670000000000004</c:v>
                </c:pt>
              </c:numCache>
            </c:numRef>
          </c:val>
          <c:smooth val="0"/>
        </c:ser>
        <c:dLbls>
          <c:showLegendKey val="0"/>
          <c:showVal val="1"/>
          <c:showCatName val="0"/>
          <c:showSerName val="0"/>
          <c:showPercent val="0"/>
          <c:showBubbleSize val="0"/>
        </c:dLbls>
        <c:marker val="0"/>
        <c:smooth val="0"/>
        <c:axId val="313601408"/>
        <c:axId val="313623680"/>
      </c:lineChart>
      <c:catAx>
        <c:axId val="3136014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8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sym typeface="+mn-lt"/>
              </a:defRPr>
            </a:pPr>
          </a:p>
        </c:txPr>
        <c:crossAx val="313623680"/>
        <c:crosses val="autoZero"/>
        <c:auto val="1"/>
        <c:lblAlgn val="ctr"/>
        <c:lblOffset val="100"/>
        <c:noMultiLvlLbl val="0"/>
      </c:catAx>
      <c:valAx>
        <c:axId val="313623680"/>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8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sym typeface="+mn-lt"/>
              </a:defRPr>
            </a:pPr>
          </a:p>
        </c:txPr>
        <c:crossAx val="3136014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800" b="0" i="0" u="none" strike="noStrike" kern="1200" baseline="0">
              <a:solidFill>
                <a:schemeClr val="tx1">
                  <a:lumMod val="65000"/>
                  <a:lumOff val="35000"/>
                </a:schemeClr>
              </a:solidFill>
              <a:latin typeface="+mn-lt"/>
              <a:ea typeface="+mn-ea"/>
              <a:cs typeface="+mn-ea"/>
              <a:sym typeface="+mn-lt"/>
            </a:defRPr>
          </a:pPr>
        </a:p>
      </c:txPr>
    </c:legend>
    <c:plotVisOnly val="1"/>
    <c:dispBlanksAs val="gap"/>
    <c:showDLblsOverMax val="0"/>
  </c:chart>
  <c:spPr>
    <a:noFill/>
    <a:ln w="6350" cap="flat" cmpd="sng" algn="ctr">
      <a:noFill/>
      <a:prstDash val="solid"/>
      <a:round/>
    </a:ln>
    <a:effectLst/>
  </c:spPr>
  <c:txPr>
    <a:bodyPr/>
    <a:lstStyle/>
    <a:p>
      <a:pPr>
        <a:defRPr lang="zh-CN" sz="1400" baseline="0">
          <a:latin typeface="+mn-lt"/>
          <a:ea typeface="+mn-ea"/>
          <a:cs typeface="+mn-ea"/>
          <a:sym typeface="+mn-lt"/>
        </a:defRPr>
      </a:pPr>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Sheet1!$A$358</c:f>
              <c:strCache>
                <c:ptCount val="1"/>
                <c:pt idx="0">
                  <c:v>环卫车总保有量预计（辆）</c:v>
                </c:pt>
              </c:strCache>
            </c:strRef>
          </c:tx>
          <c:spPr>
            <a:solidFill>
              <a:srgbClr val="FFC000"/>
            </a:solidFill>
            <a:ln>
              <a:noFill/>
            </a:ln>
            <a:effectLst/>
          </c:spPr>
          <c:invertIfNegative val="0"/>
          <c:dLbls>
            <c:spPr>
              <a:noFill/>
              <a:ln>
                <a:noFill/>
              </a:ln>
              <a:effectLst/>
            </c:spPr>
            <c:txPr>
              <a:bodyPr rot="0" spcFirstLastPara="1" vertOverflow="ellipsis" vert="horz" wrap="square" lIns="38100" tIns="19050" rIns="38100" bIns="19050" anchor="ctr" anchorCtr="1"/>
              <a:lstStyle/>
              <a:p>
                <a:pPr>
                  <a:defRPr lang="zh-CN" sz="800" b="0" i="0" u="none" strike="noStrike" kern="1200" baseline="0">
                    <a:solidFill>
                      <a:schemeClr val="tx1">
                        <a:lumMod val="75000"/>
                        <a:lumOff val="25000"/>
                      </a:schemeClr>
                    </a:solidFill>
                    <a:latin typeface="Times New Roman" panose="02020603050405020304" charset="0"/>
                    <a:ea typeface="+mn-ea"/>
                    <a:cs typeface="Times New Roman" panose="02020603050405020304" charset="0"/>
                    <a:sym typeface="+mn-lt"/>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numRef>
              <c:f>Sheet1!$B$357:$F$357</c:f>
              <c:numCache>
                <c:formatCode>General</c:formatCode>
                <c:ptCount val="5"/>
                <c:pt idx="0">
                  <c:v>2021</c:v>
                </c:pt>
                <c:pt idx="1">
                  <c:v>2022</c:v>
                </c:pt>
                <c:pt idx="2">
                  <c:v>2023</c:v>
                </c:pt>
                <c:pt idx="3">
                  <c:v>2024</c:v>
                </c:pt>
                <c:pt idx="4">
                  <c:v>2025</c:v>
                </c:pt>
              </c:numCache>
            </c:numRef>
          </c:cat>
          <c:val>
            <c:numRef>
              <c:f>Sheet1!$B$358:$F$358</c:f>
              <c:numCache>
                <c:formatCode>General</c:formatCode>
                <c:ptCount val="5"/>
                <c:pt idx="0">
                  <c:v>6500</c:v>
                </c:pt>
                <c:pt idx="1">
                  <c:v>7000</c:v>
                </c:pt>
                <c:pt idx="2">
                  <c:v>7500</c:v>
                </c:pt>
                <c:pt idx="3">
                  <c:v>8000</c:v>
                </c:pt>
                <c:pt idx="4">
                  <c:v>8500</c:v>
                </c:pt>
              </c:numCache>
            </c:numRef>
          </c:val>
        </c:ser>
        <c:ser>
          <c:idx val="1"/>
          <c:order val="1"/>
          <c:tx>
            <c:strRef>
              <c:f>Sheet1!$A$359</c:f>
              <c:strCache>
                <c:ptCount val="1"/>
                <c:pt idx="0">
                  <c:v>电动环卫车保有量（辆）</c:v>
                </c:pt>
              </c:strCache>
            </c:strRef>
          </c:tx>
          <c:spPr>
            <a:solidFill>
              <a:srgbClr val="00706B"/>
            </a:solidFill>
            <a:ln>
              <a:noFill/>
            </a:ln>
            <a:effectLst/>
          </c:spPr>
          <c:invertIfNegative val="0"/>
          <c:dLbls>
            <c:spPr>
              <a:noFill/>
              <a:ln>
                <a:noFill/>
              </a:ln>
              <a:effectLst/>
            </c:spPr>
            <c:txPr>
              <a:bodyPr rot="0" spcFirstLastPara="1" vertOverflow="ellipsis" vert="horz" wrap="square" lIns="38100" tIns="19050" rIns="38100" bIns="19050" anchor="ctr" anchorCtr="1"/>
              <a:lstStyle/>
              <a:p>
                <a:pPr>
                  <a:defRPr lang="zh-CN" sz="800" b="0" i="0" u="none" strike="noStrike" kern="1200" baseline="0">
                    <a:solidFill>
                      <a:schemeClr val="tx1">
                        <a:lumMod val="75000"/>
                        <a:lumOff val="25000"/>
                      </a:schemeClr>
                    </a:solidFill>
                    <a:latin typeface="Times New Roman" panose="02020603050405020304" charset="0"/>
                    <a:ea typeface="+mn-ea"/>
                    <a:cs typeface="Times New Roman" panose="02020603050405020304" charset="0"/>
                    <a:sym typeface="+mn-lt"/>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numRef>
              <c:f>Sheet1!$B$357:$F$357</c:f>
              <c:numCache>
                <c:formatCode>General</c:formatCode>
                <c:ptCount val="5"/>
                <c:pt idx="0">
                  <c:v>2021</c:v>
                </c:pt>
                <c:pt idx="1">
                  <c:v>2022</c:v>
                </c:pt>
                <c:pt idx="2">
                  <c:v>2023</c:v>
                </c:pt>
                <c:pt idx="3">
                  <c:v>2024</c:v>
                </c:pt>
                <c:pt idx="4">
                  <c:v>2025</c:v>
                </c:pt>
              </c:numCache>
            </c:numRef>
          </c:cat>
          <c:val>
            <c:numRef>
              <c:f>Sheet1!$B$359:$F$359</c:f>
              <c:numCache>
                <c:formatCode>General</c:formatCode>
                <c:ptCount val="5"/>
                <c:pt idx="0">
                  <c:v>700</c:v>
                </c:pt>
                <c:pt idx="1">
                  <c:v>900</c:v>
                </c:pt>
                <c:pt idx="2">
                  <c:v>1200</c:v>
                </c:pt>
                <c:pt idx="3">
                  <c:v>1500</c:v>
                </c:pt>
                <c:pt idx="4">
                  <c:v>1800</c:v>
                </c:pt>
              </c:numCache>
            </c:numRef>
          </c:val>
        </c:ser>
        <c:dLbls>
          <c:showLegendKey val="0"/>
          <c:showVal val="1"/>
          <c:showCatName val="0"/>
          <c:showSerName val="0"/>
          <c:showPercent val="0"/>
          <c:showBubbleSize val="0"/>
        </c:dLbls>
        <c:gapWidth val="219"/>
        <c:overlap val="-27"/>
        <c:axId val="313654272"/>
        <c:axId val="313668352"/>
      </c:barChart>
      <c:lineChart>
        <c:grouping val="standard"/>
        <c:varyColors val="0"/>
        <c:ser>
          <c:idx val="2"/>
          <c:order val="2"/>
          <c:tx>
            <c:strRef>
              <c:f>Sheet1!$A$360</c:f>
              <c:strCache>
                <c:ptCount val="1"/>
                <c:pt idx="0">
                  <c:v>占比</c:v>
                </c:pt>
              </c:strCache>
            </c:strRef>
          </c:tx>
          <c:spPr>
            <a:ln w="28575" cap="rnd" cmpd="sng" algn="ctr">
              <a:solidFill>
                <a:schemeClr val="accent3"/>
              </a:solidFill>
              <a:prstDash val="solid"/>
              <a:round/>
            </a:ln>
            <a:effectLst/>
          </c:spPr>
          <c:marker>
            <c:symbol val="none"/>
          </c:marker>
          <c:dLbls>
            <c:spPr>
              <a:noFill/>
              <a:ln>
                <a:noFill/>
              </a:ln>
              <a:effectLst/>
            </c:spPr>
            <c:txPr>
              <a:bodyPr rot="0" spcFirstLastPara="1" vertOverflow="ellipsis" vert="horz" wrap="square" lIns="38100" tIns="19050" rIns="38100" bIns="19050" anchor="ctr" anchorCtr="1"/>
              <a:lstStyle/>
              <a:p>
                <a:pPr>
                  <a:defRPr lang="zh-CN" sz="800" b="1" i="0" u="none" strike="noStrike" kern="1200" baseline="0">
                    <a:solidFill>
                      <a:schemeClr val="tx1">
                        <a:lumMod val="75000"/>
                        <a:lumOff val="25000"/>
                      </a:schemeClr>
                    </a:solidFill>
                    <a:latin typeface="Times New Roman" panose="02020603050405020304" charset="0"/>
                    <a:ea typeface="+mn-ea"/>
                    <a:cs typeface="Times New Roman" panose="02020603050405020304" charset="0"/>
                    <a:sym typeface="+mn-lt"/>
                  </a:defRPr>
                </a:pPr>
              </a:p>
            </c:txPr>
            <c:dLblPos val="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numRef>
              <c:f>Sheet1!$B$357:$F$357</c:f>
              <c:numCache>
                <c:formatCode>General</c:formatCode>
                <c:ptCount val="5"/>
                <c:pt idx="0">
                  <c:v>2021</c:v>
                </c:pt>
                <c:pt idx="1">
                  <c:v>2022</c:v>
                </c:pt>
                <c:pt idx="2">
                  <c:v>2023</c:v>
                </c:pt>
                <c:pt idx="3">
                  <c:v>2024</c:v>
                </c:pt>
                <c:pt idx="4">
                  <c:v>2025</c:v>
                </c:pt>
              </c:numCache>
            </c:numRef>
          </c:cat>
          <c:val>
            <c:numRef>
              <c:f>Sheet1!$B$360:$F$360</c:f>
              <c:numCache>
                <c:formatCode>0%</c:formatCode>
                <c:ptCount val="5"/>
                <c:pt idx="0">
                  <c:v>0.1</c:v>
                </c:pt>
                <c:pt idx="1">
                  <c:v>0.13</c:v>
                </c:pt>
                <c:pt idx="2">
                  <c:v>0.16</c:v>
                </c:pt>
                <c:pt idx="3">
                  <c:v>0.19</c:v>
                </c:pt>
                <c:pt idx="4">
                  <c:v>0.21</c:v>
                </c:pt>
              </c:numCache>
            </c:numRef>
          </c:val>
          <c:smooth val="0"/>
        </c:ser>
        <c:dLbls>
          <c:showLegendKey val="0"/>
          <c:showVal val="1"/>
          <c:showCatName val="0"/>
          <c:showSerName val="0"/>
          <c:showPercent val="0"/>
          <c:showBubbleSize val="0"/>
        </c:dLbls>
        <c:marker val="0"/>
        <c:smooth val="0"/>
        <c:axId val="313669888"/>
        <c:axId val="313675776"/>
      </c:lineChart>
      <c:catAx>
        <c:axId val="3136542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8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sym typeface="+mn-lt"/>
              </a:defRPr>
            </a:pPr>
          </a:p>
        </c:txPr>
        <c:crossAx val="313668352"/>
        <c:crosses val="autoZero"/>
        <c:auto val="1"/>
        <c:lblAlgn val="ctr"/>
        <c:lblOffset val="100"/>
        <c:noMultiLvlLbl val="0"/>
      </c:catAx>
      <c:valAx>
        <c:axId val="313668352"/>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8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sym typeface="+mn-lt"/>
              </a:defRPr>
            </a:pPr>
          </a:p>
        </c:txPr>
        <c:crossAx val="313654272"/>
        <c:crosses val="autoZero"/>
        <c:crossBetween val="between"/>
      </c:valAx>
      <c:catAx>
        <c:axId val="313669888"/>
        <c:scaling>
          <c:orientation val="minMax"/>
        </c:scaling>
        <c:delete val="1"/>
        <c:axPos val="b"/>
        <c:numFmt formatCode="General" sourceLinked="1"/>
        <c:majorTickMark val="none"/>
        <c:minorTickMark val="none"/>
        <c:tickLblPos val="nextTo"/>
        <c:txPr>
          <a:bodyPr rot="-60000000" spcFirstLastPara="0" vertOverflow="ellipsis" vert="horz" wrap="square" anchor="ctr" anchorCtr="1"/>
          <a:lstStyle/>
          <a:p>
            <a:pPr>
              <a:defRPr lang="zh-CN" sz="1400" b="0" i="0" u="none" strike="noStrike" kern="1200" baseline="0">
                <a:solidFill>
                  <a:schemeClr val="tx1"/>
                </a:solidFill>
                <a:latin typeface="+mn-lt"/>
                <a:ea typeface="+mn-ea"/>
                <a:cs typeface="+mn-ea"/>
                <a:sym typeface="+mn-lt"/>
              </a:defRPr>
            </a:pPr>
          </a:p>
        </c:txPr>
        <c:crossAx val="313675776"/>
        <c:crosses val="autoZero"/>
        <c:auto val="1"/>
        <c:lblAlgn val="ctr"/>
        <c:lblOffset val="100"/>
        <c:noMultiLvlLbl val="0"/>
      </c:catAx>
      <c:valAx>
        <c:axId val="313675776"/>
        <c:scaling>
          <c:orientation val="minMax"/>
        </c:scaling>
        <c:delete val="0"/>
        <c:axPos val="r"/>
        <c:numFmt formatCode="0%"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8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sym typeface="+mn-lt"/>
              </a:defRPr>
            </a:pPr>
          </a:p>
        </c:txPr>
        <c:crossAx val="313669888"/>
        <c:crosses val="max"/>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800" b="0" i="0" u="none" strike="noStrike" kern="1200" baseline="0">
              <a:solidFill>
                <a:schemeClr val="tx1">
                  <a:lumMod val="65000"/>
                  <a:lumOff val="35000"/>
                </a:schemeClr>
              </a:solidFill>
              <a:latin typeface="+mn-lt"/>
              <a:ea typeface="+mn-ea"/>
              <a:cs typeface="+mn-ea"/>
              <a:sym typeface="+mn-lt"/>
            </a:defRPr>
          </a:pPr>
        </a:p>
      </c:txPr>
    </c:legend>
    <c:plotVisOnly val="1"/>
    <c:dispBlanksAs val="gap"/>
    <c:showDLblsOverMax val="0"/>
  </c:chart>
  <c:spPr>
    <a:noFill/>
    <a:ln w="6350" cap="flat" cmpd="sng" algn="ctr">
      <a:noFill/>
      <a:prstDash val="solid"/>
      <a:round/>
    </a:ln>
    <a:effectLst/>
  </c:spPr>
  <c:txPr>
    <a:bodyPr/>
    <a:lstStyle/>
    <a:p>
      <a:pPr>
        <a:defRPr lang="zh-CN" sz="1400" baseline="0">
          <a:latin typeface="+mn-lt"/>
          <a:ea typeface="+mn-ea"/>
          <a:cs typeface="+mn-ea"/>
          <a:sym typeface="+mn-lt"/>
        </a:defRPr>
      </a:pPr>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Sheet1!$F$22</c:f>
              <c:strCache>
                <c:ptCount val="1"/>
                <c:pt idx="0">
                  <c:v>占比%</c:v>
                </c:pt>
              </c:strCache>
            </c:strRef>
          </c:tx>
          <c:explosion val="0"/>
          <c:dPt>
            <c:idx val="0"/>
            <c:bubble3D val="0"/>
            <c:spPr>
              <a:solidFill>
                <a:srgbClr val="00706B"/>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dLbl>
              <c:idx val="0"/>
              <c:layout/>
              <c:tx>
                <c:rich>
                  <a:bodyPr rot="0" spcFirstLastPara="1" vertOverflow="ellipsis" vert="horz" wrap="square" lIns="38100" tIns="19050" rIns="38100" bIns="19050" anchor="ctr" anchorCtr="1">
                    <a:spAutoFit/>
                  </a:bodyPr>
                  <a:lstStyle/>
                  <a:p>
                    <a:pPr>
                      <a:defRPr lang="zh-CN" sz="1400" b="0" i="0" u="none" strike="noStrike" kern="1200" baseline="0">
                        <a:solidFill>
                          <a:schemeClr val="bg1"/>
                        </a:solidFill>
                        <a:latin typeface="Times New Roman" panose="02020603050405020304" charset="0"/>
                        <a:ea typeface="+mn-ea"/>
                        <a:cs typeface="Times New Roman" panose="02020603050405020304" charset="0"/>
                      </a:defRPr>
                    </a:pPr>
                    <a:r>
                      <a:rPr altLang="en-US"/>
                      <a:t>87.7</a:t>
                    </a:r>
                    <a:r>
                      <a:rPr lang="en-US" altLang="zh-CN"/>
                      <a:t>%</a:t>
                    </a:r>
                    <a:endParaRPr altLang="en-US"/>
                  </a:p>
                </c:rich>
              </c:tx>
              <c:numFmt formatCode="General" sourceLinked="1"/>
              <c:spPr>
                <a:noFill/>
                <a:ln>
                  <a:noFill/>
                </a:ln>
                <a:effectLst/>
              </c:spPr>
              <c:txPr>
                <a:bodyPr rot="0" spcFirstLastPara="1" vertOverflow="ellipsis" vert="horz" wrap="square" lIns="38100" tIns="19050" rIns="38100" bIns="19050" anchor="ctr" anchorCtr="1">
                  <a:spAutoFit/>
                </a:bodyPr>
                <a:lstStyle/>
                <a:p>
                  <a:pPr>
                    <a:defRPr lang="zh-CN" sz="1400" b="0" i="0" u="none" strike="noStrike" kern="1200" baseline="0">
                      <a:solidFill>
                        <a:schemeClr val="bg1"/>
                      </a:solidFill>
                      <a:latin typeface="Times New Roman" panose="02020603050405020304" charset="0"/>
                      <a:ea typeface="+mn-ea"/>
                      <a:cs typeface="Times New Roman" panose="02020603050405020304" charset="0"/>
                    </a:defRPr>
                  </a:pPr>
                </a:p>
              </c:txPr>
              <c:dLblPos val="bestFit"/>
              <c:showLegendKey val="0"/>
              <c:showVal val="1"/>
              <c:showCatName val="0"/>
              <c:showSerName val="0"/>
              <c:showPercent val="0"/>
              <c:showBubbleSize val="0"/>
              <c:extLst>
                <c:ext xmlns:c15="http://schemas.microsoft.com/office/drawing/2012/chart" uri="{CE6537A1-D6FC-4f65-9D91-7224C49458BB}"/>
              </c:extLst>
            </c:dLbl>
            <c:dLbl>
              <c:idx val="1"/>
              <c:layout>
                <c:manualLayout>
                  <c:x val="-0.0249155625261969"/>
                  <c:y val="0.0086857915763413"/>
                </c:manualLayout>
              </c:layout>
              <c:tx>
                <c:rich>
                  <a:bodyPr rot="0" spcFirstLastPara="1" vertOverflow="ellipsis" vert="horz" wrap="square" lIns="38100" tIns="19050" rIns="38100" bIns="19050" anchor="ctr" anchorCtr="1"/>
                  <a:lstStyle/>
                  <a:p>
                    <a:pPr>
                      <a:defRPr lang="zh-CN" sz="1400" b="0" i="0" u="none" strike="noStrike" kern="1200" baseline="0">
                        <a:solidFill>
                          <a:schemeClr val="tx1">
                            <a:lumMod val="75000"/>
                            <a:lumOff val="25000"/>
                          </a:schemeClr>
                        </a:solidFill>
                        <a:latin typeface="Times New Roman" panose="02020603050405020304" charset="0"/>
                        <a:ea typeface="+mn-ea"/>
                        <a:cs typeface="Times New Roman" panose="02020603050405020304" charset="0"/>
                      </a:defRPr>
                    </a:pPr>
                    <a:r>
                      <a:rPr altLang="en-US"/>
                      <a:t>4.6</a:t>
                    </a:r>
                    <a:r>
                      <a:rPr lang="en-US" altLang="zh-CN"/>
                      <a:t>%</a:t>
                    </a:r>
                    <a:endParaRPr altLang="en-US"/>
                  </a:p>
                </c:rich>
              </c:tx>
              <c:dLblPos val="bestFi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111888253233001"/>
                  <c:y val="-0.0205389348316179"/>
                </c:manualLayout>
              </c:layout>
              <c:tx>
                <c:rich>
                  <a:bodyPr rot="0" spcFirstLastPara="1" vertOverflow="ellipsis" vert="horz" wrap="square" lIns="38100" tIns="19050" rIns="38100" bIns="19050" anchor="ctr" anchorCtr="1">
                    <a:spAutoFit/>
                  </a:bodyPr>
                  <a:lstStyle/>
                  <a:p>
                    <a:pPr>
                      <a:defRPr lang="zh-CN" sz="1400" b="0" i="0" u="none" strike="noStrike" kern="1200" baseline="0">
                        <a:solidFill>
                          <a:schemeClr val="bg1"/>
                        </a:solidFill>
                        <a:latin typeface="Times New Roman" panose="02020603050405020304" charset="0"/>
                        <a:ea typeface="+mn-ea"/>
                        <a:cs typeface="Times New Roman" panose="02020603050405020304" charset="0"/>
                      </a:defRPr>
                    </a:pPr>
                    <a:r>
                      <a:rPr altLang="en-US">
                        <a:solidFill>
                          <a:sysClr val="windowText" lastClr="000000"/>
                        </a:solidFill>
                      </a:rPr>
                      <a:t>7.7</a:t>
                    </a:r>
                    <a:r>
                      <a:rPr lang="en-US" altLang="zh-CN">
                        <a:solidFill>
                          <a:sysClr val="windowText" lastClr="000000"/>
                        </a:solidFill>
                      </a:rPr>
                      <a:t>%</a:t>
                    </a:r>
                    <a:endParaRPr altLang="en-US">
                      <a:solidFill>
                        <a:sysClr val="windowText" lastClr="000000"/>
                      </a:solidFill>
                    </a:endParaRPr>
                  </a:p>
                </c:rich>
              </c:tx>
              <c:numFmt formatCode="General" sourceLinked="1"/>
              <c:spPr>
                <a:noFill/>
                <a:ln>
                  <a:noFill/>
                </a:ln>
                <a:effectLst/>
              </c:spPr>
              <c:txPr>
                <a:bodyPr rot="0" spcFirstLastPara="1" vertOverflow="ellipsis" vert="horz" wrap="square" lIns="38100" tIns="19050" rIns="38100" bIns="19050" anchor="ctr" anchorCtr="1">
                  <a:spAutoFit/>
                </a:bodyPr>
                <a:lstStyle/>
                <a:p>
                  <a:pPr>
                    <a:defRPr lang="zh-CN" sz="1400" b="0" i="0" u="none" strike="noStrike" kern="1200" baseline="0">
                      <a:solidFill>
                        <a:schemeClr val="bg1"/>
                      </a:solidFill>
                      <a:latin typeface="Times New Roman" panose="02020603050405020304" charset="0"/>
                      <a:ea typeface="+mn-ea"/>
                      <a:cs typeface="Times New Roman" panose="02020603050405020304" charset="0"/>
                    </a:defRPr>
                  </a:pPr>
                </a:p>
              </c:txPr>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1400" b="0" i="0" u="none" strike="noStrike" kern="1200" baseline="0">
                    <a:solidFill>
                      <a:schemeClr val="tx1">
                        <a:lumMod val="75000"/>
                        <a:lumOff val="25000"/>
                      </a:schemeClr>
                    </a:solidFill>
                    <a:latin typeface="Times New Roman" panose="02020603050405020304" charset="0"/>
                    <a:ea typeface="+mn-ea"/>
                    <a:cs typeface="Times New Roman" panose="02020603050405020304" charset="0"/>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Sheet1!$E$23:$E$25</c:f>
              <c:strCache>
                <c:ptCount val="3"/>
                <c:pt idx="0">
                  <c:v>关中</c:v>
                </c:pt>
                <c:pt idx="1">
                  <c:v>陕南</c:v>
                </c:pt>
                <c:pt idx="2">
                  <c:v>陕北</c:v>
                </c:pt>
              </c:strCache>
            </c:strRef>
          </c:cat>
          <c:val>
            <c:numRef>
              <c:f>Sheet1!$F$23:$F$25</c:f>
              <c:numCache>
                <c:formatCode>General</c:formatCode>
                <c:ptCount val="3"/>
                <c:pt idx="0">
                  <c:v>87.7</c:v>
                </c:pt>
                <c:pt idx="1">
                  <c:v>4.6</c:v>
                </c:pt>
                <c:pt idx="2">
                  <c:v>7.7</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noFill/>
    <a:ln w="6350" cap="flat" cmpd="sng" algn="ctr">
      <a:noFill/>
      <a:prstDash val="solid"/>
      <a:round/>
    </a:ln>
    <a:effectLst/>
  </c:spPr>
  <c:txPr>
    <a:bodyPr/>
    <a:lstStyle/>
    <a:p>
      <a:pPr>
        <a:defRPr lang="zh-CN"/>
      </a:pPr>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Sheet1!$G$1</c:f>
              <c:strCache>
                <c:ptCount val="1"/>
                <c:pt idx="0">
                  <c:v>“十四五”末保有量（万辆）</c:v>
                </c:pt>
              </c:strCache>
            </c:strRef>
          </c:tx>
          <c:spPr>
            <a:solidFill>
              <a:srgbClr val="00706B"/>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800" b="0" i="0" u="none" strike="noStrike" kern="1200" baseline="0">
                    <a:solidFill>
                      <a:schemeClr val="tx1">
                        <a:lumMod val="75000"/>
                        <a:lumOff val="25000"/>
                      </a:schemeClr>
                    </a:solidFill>
                    <a:latin typeface="Times New Roman" panose="02020603050405020304" charset="0"/>
                    <a:ea typeface="微软雅黑" panose="020B0503020204020204" pitchFamily="34" charset="-122"/>
                    <a:cs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Sheet1!$F$2:$F$12</c:f>
              <c:strCache>
                <c:ptCount val="11"/>
                <c:pt idx="0">
                  <c:v>西安市</c:v>
                </c:pt>
                <c:pt idx="1">
                  <c:v>铜川市</c:v>
                </c:pt>
                <c:pt idx="2">
                  <c:v>宝鸡市</c:v>
                </c:pt>
                <c:pt idx="3">
                  <c:v>咸阳市</c:v>
                </c:pt>
                <c:pt idx="4">
                  <c:v>渭南市</c:v>
                </c:pt>
                <c:pt idx="5">
                  <c:v>杨凌示范区</c:v>
                </c:pt>
                <c:pt idx="6">
                  <c:v>汉中市</c:v>
                </c:pt>
                <c:pt idx="7">
                  <c:v>安康市</c:v>
                </c:pt>
                <c:pt idx="8">
                  <c:v>商洛市</c:v>
                </c:pt>
                <c:pt idx="9">
                  <c:v>延安市</c:v>
                </c:pt>
                <c:pt idx="10">
                  <c:v>榆林市</c:v>
                </c:pt>
              </c:strCache>
            </c:strRef>
          </c:cat>
          <c:val>
            <c:numRef>
              <c:f>Sheet1!$G$2:$G$12</c:f>
              <c:numCache>
                <c:formatCode>General</c:formatCode>
                <c:ptCount val="11"/>
                <c:pt idx="0">
                  <c:v>40.83</c:v>
                </c:pt>
                <c:pt idx="1">
                  <c:v>0.670000000000004</c:v>
                </c:pt>
                <c:pt idx="2">
                  <c:v>3.41</c:v>
                </c:pt>
                <c:pt idx="3">
                  <c:v>3.6</c:v>
                </c:pt>
                <c:pt idx="4">
                  <c:v>3.76</c:v>
                </c:pt>
                <c:pt idx="5">
                  <c:v>0.390000000000002</c:v>
                </c:pt>
                <c:pt idx="6">
                  <c:v>1.29</c:v>
                </c:pt>
                <c:pt idx="7">
                  <c:v>0.89</c:v>
                </c:pt>
                <c:pt idx="8">
                  <c:v>0.570000000000002</c:v>
                </c:pt>
                <c:pt idx="9">
                  <c:v>1.42</c:v>
                </c:pt>
                <c:pt idx="10">
                  <c:v>3.17</c:v>
                </c:pt>
              </c:numCache>
            </c:numRef>
          </c:val>
        </c:ser>
        <c:dLbls>
          <c:showLegendKey val="0"/>
          <c:showVal val="1"/>
          <c:showCatName val="0"/>
          <c:showSerName val="0"/>
          <c:showPercent val="0"/>
          <c:showBubbleSize val="0"/>
        </c:dLbls>
        <c:gapWidth val="219"/>
        <c:overlap val="-27"/>
        <c:axId val="313752960"/>
        <c:axId val="313758848"/>
      </c:barChart>
      <c:catAx>
        <c:axId val="3137529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mn-ea"/>
                <a:ea typeface="+mn-ea"/>
                <a:cs typeface="+mn-cs"/>
              </a:defRPr>
            </a:pPr>
          </a:p>
        </c:txPr>
        <c:crossAx val="313758848"/>
        <c:crosses val="autoZero"/>
        <c:auto val="1"/>
        <c:lblAlgn val="ctr"/>
        <c:lblOffset val="100"/>
        <c:noMultiLvlLbl val="0"/>
      </c:catAx>
      <c:valAx>
        <c:axId val="31375884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800" b="0" i="0" u="none" strike="noStrike" kern="1200" baseline="0">
                <a:solidFill>
                  <a:schemeClr val="tx1">
                    <a:lumMod val="65000"/>
                    <a:lumOff val="35000"/>
                  </a:schemeClr>
                </a:solidFill>
                <a:latin typeface="Times New Roman" panose="02020603050405020304" charset="0"/>
                <a:ea typeface="微软雅黑" panose="020B0503020204020204" pitchFamily="34" charset="-122"/>
                <a:cs typeface="Times New Roman" panose="02020603050405020304" charset="0"/>
              </a:defRPr>
            </a:pPr>
          </a:p>
        </c:txPr>
        <c:crossAx val="313752960"/>
        <c:crosses val="autoZero"/>
        <c:crossBetween val="between"/>
      </c:valAx>
      <c:spPr>
        <a:noFill/>
        <a:ln>
          <a:noFill/>
        </a:ln>
        <a:effectLst/>
      </c:spPr>
    </c:plotArea>
    <c:plotVisOnly val="1"/>
    <c:dispBlanksAs val="gap"/>
    <c:showDLblsOverMax val="0"/>
  </c:chart>
  <c:spPr>
    <a:noFill/>
    <a:ln w="6350" cap="flat" cmpd="sng" algn="ctr">
      <a:noFill/>
      <a:prstDash val="solid"/>
      <a:round/>
    </a:ln>
    <a:effectLst/>
  </c:spPr>
  <c:txPr>
    <a:bodyPr/>
    <a:lstStyle/>
    <a:p>
      <a:pPr>
        <a:defRPr lang="zh-CN" baseline="0">
          <a:latin typeface="Times New Roman" panose="02020603050405020304" charset="0"/>
          <a:ea typeface="微软雅黑" panose="020B0503020204020204" pitchFamily="34" charset="-122"/>
        </a:defRPr>
      </a:pPr>
    </a:p>
  </c:tx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Sheet1!$A$2</c:f>
              <c:strCache>
                <c:ptCount val="1"/>
                <c:pt idx="0">
                  <c:v>乡镇公用充电站（座）</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800" b="0" i="0" u="none" strike="noStrike" kern="1200" baseline="0">
                    <a:solidFill>
                      <a:schemeClr val="tx1">
                        <a:lumMod val="75000"/>
                        <a:lumOff val="25000"/>
                      </a:schemeClr>
                    </a:solidFill>
                    <a:latin typeface="Times New Roman" panose="02020603050405020304" charset="0"/>
                    <a:ea typeface="+mn-ea"/>
                    <a:cs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Sheet1!$B$1:$G$1</c:f>
              <c:strCache>
                <c:ptCount val="6"/>
                <c:pt idx="0">
                  <c:v>2021</c:v>
                </c:pt>
                <c:pt idx="1">
                  <c:v>2022</c:v>
                </c:pt>
                <c:pt idx="2">
                  <c:v>2023</c:v>
                </c:pt>
                <c:pt idx="3">
                  <c:v>2024</c:v>
                </c:pt>
                <c:pt idx="4">
                  <c:v>2025</c:v>
                </c:pt>
                <c:pt idx="5">
                  <c:v>“十四五”新增</c:v>
                </c:pt>
              </c:strCache>
            </c:strRef>
          </c:cat>
          <c:val>
            <c:numRef>
              <c:f>Sheet1!$B$2:$G$2</c:f>
              <c:numCache>
                <c:formatCode>General</c:formatCode>
                <c:ptCount val="6"/>
                <c:pt idx="0">
                  <c:v>200</c:v>
                </c:pt>
                <c:pt idx="1">
                  <c:v>200</c:v>
                </c:pt>
                <c:pt idx="2">
                  <c:v>200</c:v>
                </c:pt>
                <c:pt idx="3">
                  <c:v>200</c:v>
                </c:pt>
                <c:pt idx="4">
                  <c:v>196</c:v>
                </c:pt>
                <c:pt idx="5">
                  <c:v>996</c:v>
                </c:pt>
              </c:numCache>
            </c:numRef>
          </c:val>
        </c:ser>
        <c:ser>
          <c:idx val="1"/>
          <c:order val="1"/>
          <c:tx>
            <c:strRef>
              <c:f>Sheet1!$A$3</c:f>
              <c:strCache>
                <c:ptCount val="1"/>
                <c:pt idx="0">
                  <c:v>村组公用充电桩（根）</c:v>
                </c:pt>
              </c:strCache>
            </c:strRef>
          </c:tx>
          <c:spPr>
            <a:solidFill>
              <a:srgbClr val="FFC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800" b="0" i="0" u="none" strike="noStrike" kern="1200" baseline="0">
                    <a:solidFill>
                      <a:schemeClr val="tx1">
                        <a:lumMod val="75000"/>
                        <a:lumOff val="25000"/>
                      </a:schemeClr>
                    </a:solidFill>
                    <a:latin typeface="Times New Roman" panose="02020603050405020304" charset="0"/>
                    <a:ea typeface="+mn-ea"/>
                    <a:cs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Sheet1!$B$1:$G$1</c:f>
              <c:strCache>
                <c:ptCount val="6"/>
                <c:pt idx="0">
                  <c:v>2021</c:v>
                </c:pt>
                <c:pt idx="1">
                  <c:v>2022</c:v>
                </c:pt>
                <c:pt idx="2">
                  <c:v>2023</c:v>
                </c:pt>
                <c:pt idx="3">
                  <c:v>2024</c:v>
                </c:pt>
                <c:pt idx="4">
                  <c:v>2025</c:v>
                </c:pt>
                <c:pt idx="5">
                  <c:v>“十四五”新增</c:v>
                </c:pt>
              </c:strCache>
            </c:strRef>
          </c:cat>
          <c:val>
            <c:numRef>
              <c:f>Sheet1!$B$3:$G$3</c:f>
              <c:numCache>
                <c:formatCode>General</c:formatCode>
                <c:ptCount val="6"/>
                <c:pt idx="0">
                  <c:v>440</c:v>
                </c:pt>
                <c:pt idx="1">
                  <c:v>440</c:v>
                </c:pt>
                <c:pt idx="2">
                  <c:v>440</c:v>
                </c:pt>
                <c:pt idx="3">
                  <c:v>440</c:v>
                </c:pt>
                <c:pt idx="4">
                  <c:v>440</c:v>
                </c:pt>
                <c:pt idx="5">
                  <c:v>2200</c:v>
                </c:pt>
              </c:numCache>
            </c:numRef>
          </c:val>
        </c:ser>
        <c:ser>
          <c:idx val="2"/>
          <c:order val="2"/>
          <c:tx>
            <c:strRef>
              <c:f>Sheet1!$A$4</c:f>
              <c:strCache>
                <c:ptCount val="1"/>
                <c:pt idx="0">
                  <c:v>以上所含充电桩（60kW）总数（根）</c:v>
                </c:pt>
              </c:strCache>
            </c:strRef>
          </c:tx>
          <c:spPr>
            <a:solidFill>
              <a:srgbClr val="00808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800" b="0" i="0" u="none" strike="noStrike" kern="1200" baseline="0">
                    <a:solidFill>
                      <a:schemeClr val="tx1">
                        <a:lumMod val="75000"/>
                        <a:lumOff val="25000"/>
                      </a:schemeClr>
                    </a:solidFill>
                    <a:latin typeface="Times New Roman" panose="02020603050405020304" charset="0"/>
                    <a:ea typeface="+mn-ea"/>
                    <a:cs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Sheet1!$B$1:$G$1</c:f>
              <c:strCache>
                <c:ptCount val="6"/>
                <c:pt idx="0">
                  <c:v>2021</c:v>
                </c:pt>
                <c:pt idx="1">
                  <c:v>2022</c:v>
                </c:pt>
                <c:pt idx="2">
                  <c:v>2023</c:v>
                </c:pt>
                <c:pt idx="3">
                  <c:v>2024</c:v>
                </c:pt>
                <c:pt idx="4">
                  <c:v>2025</c:v>
                </c:pt>
                <c:pt idx="5">
                  <c:v>“十四五”新增</c:v>
                </c:pt>
              </c:strCache>
            </c:strRef>
          </c:cat>
          <c:val>
            <c:numRef>
              <c:f>Sheet1!$B$4:$G$4</c:f>
              <c:numCache>
                <c:formatCode>General</c:formatCode>
                <c:ptCount val="6"/>
                <c:pt idx="0">
                  <c:v>2440</c:v>
                </c:pt>
                <c:pt idx="1">
                  <c:v>2440</c:v>
                </c:pt>
                <c:pt idx="2">
                  <c:v>2440</c:v>
                </c:pt>
                <c:pt idx="3">
                  <c:v>2440</c:v>
                </c:pt>
                <c:pt idx="4">
                  <c:v>2400</c:v>
                </c:pt>
                <c:pt idx="5">
                  <c:v>12160</c:v>
                </c:pt>
              </c:numCache>
            </c:numRef>
          </c:val>
        </c:ser>
        <c:dLbls>
          <c:showLegendKey val="0"/>
          <c:showVal val="1"/>
          <c:showCatName val="0"/>
          <c:showSerName val="0"/>
          <c:showPercent val="0"/>
          <c:showBubbleSize val="0"/>
        </c:dLbls>
        <c:gapWidth val="219"/>
        <c:overlap val="-27"/>
        <c:axId val="313805440"/>
        <c:axId val="313827712"/>
      </c:barChart>
      <c:catAx>
        <c:axId val="3138054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8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p>
        </c:txPr>
        <c:crossAx val="313827712"/>
        <c:crosses val="autoZero"/>
        <c:auto val="1"/>
        <c:lblAlgn val="ctr"/>
        <c:lblOffset val="100"/>
        <c:noMultiLvlLbl val="0"/>
      </c:catAx>
      <c:valAx>
        <c:axId val="313827712"/>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8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p>
        </c:txPr>
        <c:crossAx val="313805440"/>
        <c:crosses val="autoZero"/>
        <c:crossBetween val="between"/>
      </c:valAx>
      <c:spPr>
        <a:noFill/>
        <a:ln>
          <a:noFill/>
        </a:ln>
        <a:effectLst/>
      </c:spPr>
    </c:plotArea>
    <c:legend>
      <c:legendPos val="b"/>
      <c:layout>
        <c:manualLayout>
          <c:xMode val="edge"/>
          <c:yMode val="edge"/>
          <c:x val="0.062990544684752"/>
          <c:y val="0.881832149746912"/>
          <c:w val="0.878635160338347"/>
          <c:h val="0.0624044801382984"/>
        </c:manualLayout>
      </c:layout>
      <c:overlay val="0"/>
      <c:spPr>
        <a:noFill/>
        <a:ln>
          <a:noFill/>
        </a:ln>
        <a:effectLst/>
      </c:spPr>
      <c:txPr>
        <a:bodyPr rot="0" spcFirstLastPara="1" vertOverflow="ellipsis" vert="horz" wrap="square" anchor="ctr" anchorCtr="1"/>
        <a:lstStyle/>
        <a:p>
          <a:pPr>
            <a:defRPr lang="zh-CN" sz="8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noFill/>
    <a:ln w="6350" cap="flat" cmpd="sng" algn="ctr">
      <a:noFill/>
      <a:prstDash val="solid"/>
      <a:round/>
    </a:ln>
    <a:effectLst/>
  </c:spPr>
  <c:txPr>
    <a:bodyPr/>
    <a:lstStyle/>
    <a:p>
      <a:pPr>
        <a:defRPr lang="zh-CN"/>
      </a:pPr>
    </a:p>
  </c:tx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Sheet1!$A$2</c:f>
              <c:strCache>
                <c:ptCount val="1"/>
                <c:pt idx="0">
                  <c:v>各年新建充电桩数量（均为单充电枪）</c:v>
                </c:pt>
              </c:strCache>
            </c:strRef>
          </c:tx>
          <c:spPr>
            <a:solidFill>
              <a:schemeClr val="accent1"/>
            </a:solidFill>
            <a:ln>
              <a:noFill/>
            </a:ln>
            <a:effectLst/>
          </c:spPr>
          <c:invertIfNegative val="0"/>
          <c:dPt>
            <c:idx val="0"/>
            <c:invertIfNegative val="0"/>
            <c:bubble3D val="0"/>
            <c:spPr>
              <a:solidFill>
                <a:srgbClr val="008080"/>
              </a:solidFill>
              <a:ln>
                <a:noFill/>
              </a:ln>
              <a:effectLst/>
            </c:spPr>
          </c:dPt>
          <c:dPt>
            <c:idx val="1"/>
            <c:invertIfNegative val="0"/>
            <c:bubble3D val="0"/>
            <c:spPr>
              <a:solidFill>
                <a:srgbClr val="008080"/>
              </a:solidFill>
              <a:ln>
                <a:noFill/>
              </a:ln>
              <a:effectLst/>
            </c:spPr>
          </c:dPt>
          <c:dPt>
            <c:idx val="2"/>
            <c:invertIfNegative val="0"/>
            <c:bubble3D val="0"/>
            <c:spPr>
              <a:solidFill>
                <a:srgbClr val="008080"/>
              </a:solidFill>
              <a:ln>
                <a:noFill/>
              </a:ln>
              <a:effectLst/>
            </c:spPr>
          </c:dPt>
          <c:dPt>
            <c:idx val="3"/>
            <c:invertIfNegative val="0"/>
            <c:bubble3D val="0"/>
            <c:spPr>
              <a:solidFill>
                <a:srgbClr val="008080"/>
              </a:solidFill>
              <a:ln>
                <a:noFill/>
              </a:ln>
              <a:effectLst/>
            </c:spPr>
          </c:dPt>
          <c:dPt>
            <c:idx val="4"/>
            <c:invertIfNegative val="0"/>
            <c:bubble3D val="0"/>
            <c:spPr>
              <a:solidFill>
                <a:srgbClr val="008080"/>
              </a:solidFill>
              <a:ln>
                <a:solidFill>
                  <a:schemeClr val="bg1"/>
                </a:solidFill>
              </a:ln>
              <a:effectLst/>
            </c:spPr>
          </c:dPt>
          <c:dPt>
            <c:idx val="5"/>
            <c:invertIfNegative val="0"/>
            <c:bubble3D val="0"/>
            <c:spPr>
              <a:solidFill>
                <a:srgbClr val="008080"/>
              </a:solidFill>
              <a:ln>
                <a:noFill/>
              </a:ln>
              <a:effectLst/>
            </c:spPr>
          </c:dPt>
          <c:dLbls>
            <c:dLbl>
              <c:idx val="0"/>
              <c:layout/>
              <c:tx>
                <c:rich>
                  <a:bodyPr rot="0" spcFirstLastPara="1" vertOverflow="ellipsis" vert="horz" wrap="square" lIns="38100" tIns="19050" rIns="38100" bIns="19050" anchor="ctr" anchorCtr="1"/>
                  <a:lstStyle/>
                  <a:p>
                    <a:pPr>
                      <a:defRPr lang="zh-CN" sz="800" b="0" i="0" u="none" strike="noStrike" kern="1200" baseline="0">
                        <a:solidFill>
                          <a:schemeClr val="tx1">
                            <a:lumMod val="75000"/>
                            <a:lumOff val="25000"/>
                          </a:schemeClr>
                        </a:solidFill>
                        <a:latin typeface="Times New Roman" panose="02020603050405020304" charset="0"/>
                        <a:ea typeface="+mn-ea"/>
                        <a:cs typeface="Times New Roman" panose="02020603050405020304" charset="0"/>
                      </a:defRPr>
                    </a:pPr>
                    <a:r>
                      <a:rPr sz="800">
                        <a:latin typeface="Times New Roman" panose="02020603050405020304" charset="0"/>
                        <a:cs typeface="Times New Roman" panose="02020603050405020304" charset="0"/>
                      </a:rPr>
                      <a:t>3.</a:t>
                    </a:r>
                    <a:r>
                      <a:rPr lang="en-US" altLang="zh-CN" sz="800">
                        <a:latin typeface="Times New Roman" panose="02020603050405020304" charset="0"/>
                        <a:cs typeface="Times New Roman" panose="02020603050405020304" charset="0"/>
                      </a:rPr>
                      <a:t>79</a:t>
                    </a:r>
                    <a:endParaRPr lang="en-US" altLang="zh-CN" sz="800">
                      <a:latin typeface="Times New Roman" panose="02020603050405020304" charset="0"/>
                      <a:cs typeface="Times New Roman" panose="02020603050405020304" charset="0"/>
                    </a:endParaRPr>
                  </a:p>
                </c:rich>
              </c:tx>
              <c:dLblPos val="outEnd"/>
              <c:showLegendKey val="0"/>
              <c:showVal val="1"/>
              <c:showCatName val="0"/>
              <c:showSerName val="0"/>
              <c:showPercent val="0"/>
              <c:showBubbleSize val="0"/>
              <c:extLst>
                <c:ext xmlns:c15="http://schemas.microsoft.com/office/drawing/2012/chart" uri="{CE6537A1-D6FC-4f65-9D91-7224C49458BB}"/>
              </c:extLst>
            </c:dLbl>
            <c:dLbl>
              <c:idx val="1"/>
              <c:layout/>
              <c:tx>
                <c:rich>
                  <a:bodyPr rot="0" spcFirstLastPara="1" vertOverflow="ellipsis" vert="horz" wrap="square" lIns="38100" tIns="19050" rIns="38100" bIns="19050" anchor="ctr" anchorCtr="1"/>
                  <a:lstStyle/>
                  <a:p>
                    <a:pPr>
                      <a:defRPr lang="zh-CN" sz="800" b="0" i="0" u="none" strike="noStrike" kern="1200" baseline="0">
                        <a:solidFill>
                          <a:schemeClr val="tx1">
                            <a:lumMod val="75000"/>
                            <a:lumOff val="25000"/>
                          </a:schemeClr>
                        </a:solidFill>
                        <a:latin typeface="Times New Roman" panose="02020603050405020304" charset="0"/>
                        <a:ea typeface="+mn-ea"/>
                        <a:cs typeface="Times New Roman" panose="02020603050405020304" charset="0"/>
                      </a:defRPr>
                    </a:pPr>
                    <a:r>
                      <a:rPr sz="800">
                        <a:latin typeface="Times New Roman" panose="02020603050405020304" charset="0"/>
                        <a:cs typeface="Times New Roman" panose="02020603050405020304" charset="0"/>
                      </a:rPr>
                      <a:t>5.</a:t>
                    </a:r>
                    <a:r>
                      <a:rPr lang="en-US" altLang="zh-CN" sz="800">
                        <a:latin typeface="Times New Roman" panose="02020603050405020304" charset="0"/>
                        <a:cs typeface="Times New Roman" panose="02020603050405020304" charset="0"/>
                      </a:rPr>
                      <a:t>37</a:t>
                    </a:r>
                    <a:endParaRPr lang="en-US" altLang="zh-CN" sz="800">
                      <a:latin typeface="Times New Roman" panose="02020603050405020304" charset="0"/>
                      <a:cs typeface="Times New Roman" panose="02020603050405020304" charset="0"/>
                    </a:endParaRPr>
                  </a:p>
                </c:rich>
              </c:tx>
              <c:dLblPos val="outEnd"/>
              <c:showLegendKey val="0"/>
              <c:showVal val="1"/>
              <c:showCatName val="0"/>
              <c:showSerName val="0"/>
              <c:showPercent val="0"/>
              <c:showBubbleSize val="0"/>
              <c:extLst>
                <c:ext xmlns:c15="http://schemas.microsoft.com/office/drawing/2012/chart" uri="{CE6537A1-D6FC-4f65-9D91-7224C49458BB}"/>
              </c:extLst>
            </c:dLbl>
            <c:dLbl>
              <c:idx val="2"/>
              <c:layout/>
              <c:tx>
                <c:rich>
                  <a:bodyPr rot="0" spcFirstLastPara="1" vertOverflow="ellipsis" vert="horz" wrap="square" lIns="38100" tIns="19050" rIns="38100" bIns="19050" anchor="ctr" anchorCtr="1"/>
                  <a:lstStyle/>
                  <a:p>
                    <a:pPr>
                      <a:defRPr lang="zh-CN" sz="800" b="0" i="0" u="none" strike="noStrike" kern="1200" baseline="0">
                        <a:solidFill>
                          <a:schemeClr val="tx1">
                            <a:lumMod val="75000"/>
                            <a:lumOff val="25000"/>
                          </a:schemeClr>
                        </a:solidFill>
                        <a:latin typeface="Times New Roman" panose="02020603050405020304" charset="0"/>
                        <a:ea typeface="+mn-ea"/>
                        <a:cs typeface="Times New Roman" panose="02020603050405020304" charset="0"/>
                      </a:defRPr>
                    </a:pPr>
                    <a:r>
                      <a:rPr sz="800">
                        <a:latin typeface="Times New Roman" panose="02020603050405020304" charset="0"/>
                        <a:cs typeface="Times New Roman" panose="02020603050405020304" charset="0"/>
                      </a:rPr>
                      <a:t>7.1</a:t>
                    </a:r>
                    <a:r>
                      <a:rPr lang="en-US" altLang="zh-CN" sz="800">
                        <a:latin typeface="Times New Roman" panose="02020603050405020304" charset="0"/>
                        <a:cs typeface="Times New Roman" panose="02020603050405020304" charset="0"/>
                      </a:rPr>
                      <a:t>0</a:t>
                    </a:r>
                    <a:endParaRPr lang="en-US" altLang="zh-CN" sz="800">
                      <a:latin typeface="Times New Roman" panose="02020603050405020304" charset="0"/>
                      <a:cs typeface="Times New Roman" panose="02020603050405020304" charset="0"/>
                    </a:endParaRPr>
                  </a:p>
                </c:rich>
              </c:tx>
              <c:dLblPos val="outEnd"/>
              <c:showLegendKey val="0"/>
              <c:showVal val="1"/>
              <c:showCatName val="0"/>
              <c:showSerName val="0"/>
              <c:showPercent val="0"/>
              <c:showBubbleSize val="0"/>
              <c:extLst>
                <c:ext xmlns:c15="http://schemas.microsoft.com/office/drawing/2012/chart" uri="{CE6537A1-D6FC-4f65-9D91-7224C49458BB}"/>
              </c:extLst>
            </c:dLbl>
            <c:dLbl>
              <c:idx val="3"/>
              <c:layout/>
              <c:tx>
                <c:rich>
                  <a:bodyPr rot="0" spcFirstLastPara="1" vertOverflow="ellipsis" vert="horz" wrap="square" lIns="38100" tIns="19050" rIns="38100" bIns="19050" anchor="ctr" anchorCtr="1"/>
                  <a:lstStyle/>
                  <a:p>
                    <a:pPr>
                      <a:defRPr lang="zh-CN" sz="800" b="0" i="0" u="none" strike="noStrike" kern="1200" baseline="0">
                        <a:solidFill>
                          <a:schemeClr val="tx1">
                            <a:lumMod val="75000"/>
                            <a:lumOff val="25000"/>
                          </a:schemeClr>
                        </a:solidFill>
                        <a:latin typeface="Times New Roman" panose="02020603050405020304" charset="0"/>
                        <a:ea typeface="+mn-ea"/>
                        <a:cs typeface="Times New Roman" panose="02020603050405020304" charset="0"/>
                      </a:defRPr>
                    </a:pPr>
                    <a:r>
                      <a:rPr sz="800">
                        <a:latin typeface="Times New Roman" panose="02020603050405020304" charset="0"/>
                        <a:cs typeface="Times New Roman" panose="02020603050405020304" charset="0"/>
                      </a:rPr>
                      <a:t>9.0</a:t>
                    </a:r>
                    <a:r>
                      <a:rPr lang="en-US" altLang="zh-CN" sz="800">
                        <a:latin typeface="Times New Roman" panose="02020603050405020304" charset="0"/>
                        <a:cs typeface="Times New Roman" panose="02020603050405020304" charset="0"/>
                      </a:rPr>
                      <a:t>0</a:t>
                    </a:r>
                    <a:endParaRPr lang="en-US" altLang="zh-CN" sz="800">
                      <a:latin typeface="Times New Roman" panose="02020603050405020304" charset="0"/>
                      <a:cs typeface="Times New Roman" panose="02020603050405020304" charset="0"/>
                    </a:endParaRPr>
                  </a:p>
                </c:rich>
              </c:tx>
              <c:dLblPos val="outEnd"/>
              <c:showLegendKey val="0"/>
              <c:showVal val="1"/>
              <c:showCatName val="0"/>
              <c:showSerName val="0"/>
              <c:showPercent val="0"/>
              <c:showBubbleSize val="0"/>
              <c:extLst>
                <c:ext xmlns:c15="http://schemas.microsoft.com/office/drawing/2012/chart" uri="{CE6537A1-D6FC-4f65-9D91-7224C49458BB}"/>
              </c:extLst>
            </c:dLbl>
            <c:dLbl>
              <c:idx val="4"/>
              <c:layout/>
              <c:tx>
                <c:rich>
                  <a:bodyPr rot="0" spcFirstLastPara="1" vertOverflow="ellipsis" vert="horz" wrap="square" lIns="38100" tIns="19050" rIns="38100" bIns="19050" anchor="ctr" anchorCtr="1"/>
                  <a:lstStyle/>
                  <a:p>
                    <a:pPr>
                      <a:defRPr lang="zh-CN" sz="800" b="0" i="0" u="none" strike="noStrike" kern="1200" baseline="0">
                        <a:solidFill>
                          <a:schemeClr val="tx1">
                            <a:lumMod val="75000"/>
                            <a:lumOff val="25000"/>
                          </a:schemeClr>
                        </a:solidFill>
                        <a:latin typeface="Times New Roman" panose="02020603050405020304" charset="0"/>
                        <a:ea typeface="+mn-ea"/>
                        <a:cs typeface="Times New Roman" panose="02020603050405020304" charset="0"/>
                      </a:defRPr>
                    </a:pPr>
                    <a:r>
                      <a:rPr sz="800">
                        <a:latin typeface="Times New Roman" panose="02020603050405020304" charset="0"/>
                        <a:cs typeface="Times New Roman" panose="02020603050405020304" charset="0"/>
                      </a:rPr>
                      <a:t>10.</a:t>
                    </a:r>
                    <a:r>
                      <a:rPr lang="en-US" altLang="zh-CN" sz="800">
                        <a:latin typeface="Times New Roman" panose="02020603050405020304" charset="0"/>
                        <a:cs typeface="Times New Roman" panose="02020603050405020304" charset="0"/>
                      </a:rPr>
                      <a:t>28</a:t>
                    </a:r>
                    <a:endParaRPr lang="en-US" altLang="zh-CN" sz="800">
                      <a:latin typeface="Times New Roman" panose="02020603050405020304" charset="0"/>
                      <a:cs typeface="Times New Roman" panose="02020603050405020304" charset="0"/>
                    </a:endParaRPr>
                  </a:p>
                </c:rich>
              </c:tx>
              <c:dLblPos val="outEnd"/>
              <c:showLegendKey val="0"/>
              <c:showVal val="1"/>
              <c:showCatName val="0"/>
              <c:showSerName val="0"/>
              <c:showPercent val="0"/>
              <c:showBubbleSize val="0"/>
              <c:extLst>
                <c:ext xmlns:c15="http://schemas.microsoft.com/office/drawing/2012/chart" uri="{CE6537A1-D6FC-4f65-9D91-7224C49458BB}"/>
              </c:extLst>
            </c:dLbl>
            <c:dLbl>
              <c:idx val="5"/>
              <c:layout/>
              <c:tx>
                <c:rich>
                  <a:bodyPr rot="0" spcFirstLastPara="1" vertOverflow="ellipsis" vert="horz" wrap="square" lIns="38100" tIns="19050" rIns="38100" bIns="19050" anchor="ctr" anchorCtr="1"/>
                  <a:lstStyle/>
                  <a:p>
                    <a:pPr>
                      <a:defRPr lang="zh-CN" sz="800" b="0" i="0" u="none" strike="noStrike" kern="1200" baseline="0">
                        <a:solidFill>
                          <a:schemeClr val="tx1">
                            <a:lumMod val="75000"/>
                            <a:lumOff val="25000"/>
                          </a:schemeClr>
                        </a:solidFill>
                        <a:latin typeface="Times New Roman" panose="02020603050405020304" charset="0"/>
                        <a:ea typeface="+mn-ea"/>
                        <a:cs typeface="Times New Roman" panose="02020603050405020304" charset="0"/>
                      </a:defRPr>
                    </a:pPr>
                    <a:r>
                      <a:rPr sz="800">
                        <a:latin typeface="Times New Roman" panose="02020603050405020304" charset="0"/>
                        <a:cs typeface="Times New Roman" panose="02020603050405020304" charset="0"/>
                      </a:rPr>
                      <a:t>35.</a:t>
                    </a:r>
                    <a:r>
                      <a:rPr lang="en-US" altLang="zh-CN" sz="800">
                        <a:latin typeface="Times New Roman" panose="02020603050405020304" charset="0"/>
                        <a:cs typeface="Times New Roman" panose="02020603050405020304" charset="0"/>
                      </a:rPr>
                      <a:t>54</a:t>
                    </a:r>
                    <a:endParaRPr lang="en-US" altLang="zh-CN" sz="800">
                      <a:latin typeface="Times New Roman" panose="02020603050405020304" charset="0"/>
                      <a:cs typeface="Times New Roman" panose="02020603050405020304" charset="0"/>
                    </a:endParaRPr>
                  </a:p>
                </c:rich>
              </c:tx>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lang="zh-CN" sz="800" b="0" i="0" u="none" strike="noStrike" kern="1200" baseline="0">
                    <a:solidFill>
                      <a:schemeClr val="tx1">
                        <a:lumMod val="75000"/>
                        <a:lumOff val="25000"/>
                      </a:schemeClr>
                    </a:solidFill>
                    <a:latin typeface="Times New Roman" panose="02020603050405020304" charset="0"/>
                    <a:ea typeface="+mn-ea"/>
                    <a:cs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Sheet1!$B$1:$G$1</c:f>
              <c:strCache>
                <c:ptCount val="6"/>
                <c:pt idx="0">
                  <c:v>2021</c:v>
                </c:pt>
                <c:pt idx="1">
                  <c:v>2022</c:v>
                </c:pt>
                <c:pt idx="2">
                  <c:v>2023</c:v>
                </c:pt>
                <c:pt idx="3">
                  <c:v>2024</c:v>
                </c:pt>
                <c:pt idx="4">
                  <c:v>2025</c:v>
                </c:pt>
                <c:pt idx="5">
                  <c:v>合计</c:v>
                </c:pt>
              </c:strCache>
            </c:strRef>
          </c:cat>
          <c:val>
            <c:numRef>
              <c:f>Sheet1!$B$2:$G$2</c:f>
              <c:numCache>
                <c:formatCode>General</c:formatCode>
                <c:ptCount val="6"/>
                <c:pt idx="0">
                  <c:v>3.82</c:v>
                </c:pt>
                <c:pt idx="1">
                  <c:v>5.43</c:v>
                </c:pt>
                <c:pt idx="2">
                  <c:v>7.17</c:v>
                </c:pt>
                <c:pt idx="3">
                  <c:v>9.08</c:v>
                </c:pt>
                <c:pt idx="4">
                  <c:v>10.36</c:v>
                </c:pt>
                <c:pt idx="5">
                  <c:v>35.86</c:v>
                </c:pt>
              </c:numCache>
            </c:numRef>
          </c:val>
        </c:ser>
        <c:dLbls>
          <c:showLegendKey val="0"/>
          <c:showVal val="1"/>
          <c:showCatName val="0"/>
          <c:showSerName val="0"/>
          <c:showPercent val="0"/>
          <c:showBubbleSize val="0"/>
        </c:dLbls>
        <c:gapWidth val="219"/>
        <c:overlap val="-27"/>
        <c:axId val="314415360"/>
        <c:axId val="314417152"/>
      </c:barChart>
      <c:catAx>
        <c:axId val="3144153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8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p>
        </c:txPr>
        <c:crossAx val="314417152"/>
        <c:crosses val="autoZero"/>
        <c:auto val="1"/>
        <c:lblAlgn val="ctr"/>
        <c:lblOffset val="100"/>
        <c:noMultiLvlLbl val="0"/>
      </c:catAx>
      <c:valAx>
        <c:axId val="314417152"/>
        <c:scaling>
          <c:orientation val="minMax"/>
        </c:scaling>
        <c:delete val="0"/>
        <c:axPos val="l"/>
        <c:majorGridlines>
          <c:spPr>
            <a:ln w="9525" cap="flat" cmpd="sng" algn="ctr">
              <a:solidFill>
                <a:schemeClr val="tx1">
                  <a:lumMod val="15000"/>
                  <a:lumOff val="85000"/>
                </a:schemeClr>
              </a:solidFill>
              <a:prstDash val="solid"/>
              <a:round/>
            </a:ln>
            <a:effectLst/>
          </c:spPr>
        </c:majorGridlines>
        <c:title>
          <c:tx>
            <c:rich>
              <a:bodyPr rot="-5400000" spcFirstLastPara="1" vertOverflow="ellipsis" vert="horz" wrap="square" anchor="ctr" anchorCtr="1"/>
              <a:lstStyle/>
              <a:p>
                <a:pPr>
                  <a:defRPr lang="zh-CN" sz="800" b="0" i="0" u="none" strike="noStrike" kern="1200" baseline="0">
                    <a:solidFill>
                      <a:schemeClr val="tx1">
                        <a:lumMod val="65000"/>
                        <a:lumOff val="35000"/>
                      </a:schemeClr>
                    </a:solidFill>
                    <a:latin typeface="+mn-lt"/>
                    <a:ea typeface="+mn-ea"/>
                    <a:cs typeface="+mn-cs"/>
                  </a:defRPr>
                </a:pPr>
                <a:r>
                  <a:rPr lang="zh-CN" altLang="zh-CN" sz="800" b="0" i="0" baseline="0">
                    <a:effectLst/>
                  </a:rPr>
                  <a:t>各年新建充电桩数量（均为单充电枪）</a:t>
                </a:r>
                <a:endParaRPr lang="zh-CN" altLang="zh-CN" sz="800">
                  <a:effectLst/>
                </a:endParaRPr>
              </a:p>
            </c:rich>
          </c:tx>
          <c:layout>
            <c:manualLayout>
              <c:xMode val="edge"/>
              <c:yMode val="edge"/>
              <c:x val="0.0215921064081262"/>
              <c:y val="0.122212823227121"/>
            </c:manualLayout>
          </c:layout>
          <c:overlay val="0"/>
          <c:spPr>
            <a:noFill/>
            <a:ln>
              <a:noFill/>
            </a:ln>
            <a:effectLst/>
          </c:spPr>
        </c:title>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8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p>
        </c:txPr>
        <c:crossAx val="314415360"/>
        <c:crosses val="autoZero"/>
        <c:crossBetween val="between"/>
      </c:valAx>
      <c:spPr>
        <a:noFill/>
        <a:ln>
          <a:noFill/>
        </a:ln>
        <a:effectLst/>
      </c:spPr>
    </c:plotArea>
    <c:plotVisOnly val="1"/>
    <c:dispBlanksAs val="gap"/>
    <c:showDLblsOverMax val="0"/>
  </c:chart>
  <c:spPr>
    <a:noFill/>
    <a:ln w="6350" cap="flat" cmpd="sng" algn="ctr">
      <a:noFill/>
      <a:prstDash val="solid"/>
      <a:round/>
    </a:ln>
    <a:effectLst/>
  </c:spPr>
  <c:txPr>
    <a:bodyPr/>
    <a:lstStyle/>
    <a:p>
      <a:pPr>
        <a:defRPr lang="zh-CN"/>
      </a:pPr>
    </a:p>
  </c:tx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'[新建 Microsoft Excel 工作表.xlsx]Sheet1'!$A$2</c:f>
              <c:strCache>
                <c:ptCount val="1"/>
                <c:pt idx="0">
                  <c:v>建设的充电站所含充电桩数量（万根）</c:v>
                </c:pt>
              </c:strCache>
            </c:strRef>
          </c:tx>
          <c:spPr>
            <a:solidFill>
              <a:srgbClr val="00706B"/>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'[新建 Microsoft Excel 工作表.xlsx]Sheet1'!$B$1:$D$1</c:f>
              <c:strCache>
                <c:ptCount val="3"/>
                <c:pt idx="0">
                  <c:v>关中</c:v>
                </c:pt>
                <c:pt idx="1">
                  <c:v>陕北</c:v>
                </c:pt>
                <c:pt idx="2">
                  <c:v>陕南</c:v>
                </c:pt>
              </c:strCache>
            </c:strRef>
          </c:cat>
          <c:val>
            <c:numRef>
              <c:f>'[新建 Microsoft Excel 工作表.xlsx]Sheet1'!$B$2:$D$2</c:f>
              <c:numCache>
                <c:formatCode>General</c:formatCode>
                <c:ptCount val="3"/>
                <c:pt idx="0">
                  <c:v>4.58</c:v>
                </c:pt>
                <c:pt idx="1">
                  <c:v>0.620000000000001</c:v>
                </c:pt>
                <c:pt idx="2">
                  <c:v>0.670000000000001</c:v>
                </c:pt>
              </c:numCache>
            </c:numRef>
          </c:val>
        </c:ser>
        <c:ser>
          <c:idx val="1"/>
          <c:order val="1"/>
          <c:tx>
            <c:strRef>
              <c:f>'[新建 Microsoft Excel 工作表.xlsx]Sheet1'!$A$3</c:f>
              <c:strCache>
                <c:ptCount val="1"/>
                <c:pt idx="0">
                  <c:v>个人及单位自用充电桩（万根）</c:v>
                </c:pt>
              </c:strCache>
            </c:strRef>
          </c:tx>
          <c:spPr>
            <a:solidFill>
              <a:srgbClr val="FFC000"/>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'[新建 Microsoft Excel 工作表.xlsx]Sheet1'!$B$1:$D$1</c:f>
              <c:strCache>
                <c:ptCount val="3"/>
                <c:pt idx="0">
                  <c:v>关中</c:v>
                </c:pt>
                <c:pt idx="1">
                  <c:v>陕北</c:v>
                </c:pt>
                <c:pt idx="2">
                  <c:v>陕南</c:v>
                </c:pt>
              </c:strCache>
            </c:strRef>
          </c:cat>
          <c:val>
            <c:numRef>
              <c:f>'[新建 Microsoft Excel 工作表.xlsx]Sheet1'!$B$3:$D$3</c:f>
              <c:numCache>
                <c:formatCode>General</c:formatCode>
                <c:ptCount val="3"/>
                <c:pt idx="0">
                  <c:v>25.85</c:v>
                </c:pt>
                <c:pt idx="1">
                  <c:v>2.26</c:v>
                </c:pt>
                <c:pt idx="2">
                  <c:v>1.34</c:v>
                </c:pt>
              </c:numCache>
            </c:numRef>
          </c:val>
        </c:ser>
        <c:ser>
          <c:idx val="2"/>
          <c:order val="2"/>
          <c:tx>
            <c:strRef>
              <c:f>'[新建 Microsoft Excel 工作表.xlsx]Sheet1'!$A$4</c:f>
              <c:strCache>
                <c:ptCount val="1"/>
                <c:pt idx="0">
                  <c:v>十四五期间共建设各类充电桩数量（万根）</c:v>
                </c:pt>
              </c:strCache>
            </c:strRef>
          </c:tx>
          <c:spPr>
            <a:solidFill>
              <a:srgbClr val="A5A5A5"/>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'[新建 Microsoft Excel 工作表.xlsx]Sheet1'!$B$1:$D$1</c:f>
              <c:strCache>
                <c:ptCount val="3"/>
                <c:pt idx="0">
                  <c:v>关中</c:v>
                </c:pt>
                <c:pt idx="1">
                  <c:v>陕北</c:v>
                </c:pt>
                <c:pt idx="2">
                  <c:v>陕南</c:v>
                </c:pt>
              </c:strCache>
            </c:strRef>
          </c:cat>
          <c:val>
            <c:numRef>
              <c:f>'[新建 Microsoft Excel 工作表.xlsx]Sheet1'!$B$4:$D$4</c:f>
              <c:numCache>
                <c:formatCode>General</c:formatCode>
                <c:ptCount val="3"/>
                <c:pt idx="0">
                  <c:v>30.65</c:v>
                </c:pt>
                <c:pt idx="1">
                  <c:v>2.88</c:v>
                </c:pt>
                <c:pt idx="2">
                  <c:v>2.01</c:v>
                </c:pt>
              </c:numCache>
            </c:numRef>
          </c:val>
        </c:ser>
        <c:dLbls>
          <c:showLegendKey val="0"/>
          <c:showVal val="1"/>
          <c:showCatName val="0"/>
          <c:showSerName val="0"/>
          <c:showPercent val="0"/>
          <c:showBubbleSize val="0"/>
        </c:dLbls>
        <c:gapWidth val="219"/>
        <c:overlap val="-27"/>
        <c:axId val="314463744"/>
        <c:axId val="314465280"/>
      </c:barChart>
      <c:catAx>
        <c:axId val="314463744"/>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314465280"/>
        <c:crosses val="autoZero"/>
        <c:auto val="1"/>
        <c:lblAlgn val="ctr"/>
        <c:lblOffset val="100"/>
        <c:noMultiLvlLbl val="0"/>
      </c:catAx>
      <c:valAx>
        <c:axId val="314465280"/>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314463744"/>
        <c:crosses val="autoZero"/>
        <c:crossBetween val="between"/>
      </c:valAx>
      <c:spPr>
        <a:noFill/>
        <a:ln>
          <a:noFill/>
        </a:ln>
        <a:effectLst/>
      </c:spPr>
    </c:plotArea>
    <c:legend>
      <c:legendPos val="b"/>
      <c:legendEntry>
        <c:idx val="0"/>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egendEntry>
        <c:idx val="1"/>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egendEntry>
        <c:idx val="2"/>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
    <c:plotVisOnly val="1"/>
    <c:dispBlanksAs val="gap"/>
    <c:showDLblsOverMax val="0"/>
  </c:chart>
  <c:spPr>
    <a:solidFill>
      <a:schemeClr val="bg1"/>
    </a:solidFill>
    <a:ln w="9525" cap="flat" cmpd="sng" algn="ctr">
      <a:noFill/>
      <a:prstDash val="solid"/>
      <a:round/>
    </a:ln>
    <a:effectLst/>
  </c:spPr>
  <c:txPr>
    <a:bodyPr/>
    <a:lstStyle/>
    <a:p>
      <a:pPr>
        <a:defRPr lang="zh-CN">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Sheet1!$A$2</c:f>
              <c:strCache>
                <c:ptCount val="1"/>
                <c:pt idx="0">
                  <c:v>充电站数（座）</c:v>
                </c:pt>
              </c:strCache>
            </c:strRef>
          </c:tx>
          <c:spPr>
            <a:solidFill>
              <a:schemeClr val="accent1"/>
            </a:solidFill>
            <a:ln>
              <a:noFill/>
            </a:ln>
            <a:effectLst/>
          </c:spPr>
          <c:invertIfNegative val="0"/>
          <c:dPt>
            <c:idx val="0"/>
            <c:invertIfNegative val="0"/>
            <c:bubble3D val="0"/>
            <c:spPr>
              <a:solidFill>
                <a:srgbClr val="008080"/>
              </a:solidFill>
              <a:ln>
                <a:noFill/>
              </a:ln>
              <a:effectLst/>
            </c:spPr>
          </c:dPt>
          <c:dPt>
            <c:idx val="1"/>
            <c:invertIfNegative val="0"/>
            <c:bubble3D val="0"/>
            <c:spPr>
              <a:solidFill>
                <a:srgbClr val="008080"/>
              </a:solidFill>
              <a:ln>
                <a:noFill/>
              </a:ln>
              <a:effectLst/>
            </c:spPr>
          </c:dPt>
          <c:dPt>
            <c:idx val="2"/>
            <c:invertIfNegative val="0"/>
            <c:bubble3D val="0"/>
            <c:spPr>
              <a:solidFill>
                <a:srgbClr val="008080"/>
              </a:solidFill>
              <a:ln>
                <a:noFill/>
              </a:ln>
              <a:effectLst/>
            </c:spPr>
          </c:dPt>
          <c:dLbls>
            <c:dLbl>
              <c:idx val="0"/>
              <c:layout/>
              <c:tx>
                <c:rich>
                  <a:bodyPr rot="0" spcFirstLastPara="1" vertOverflow="ellipsis" vert="horz" wrap="square" lIns="38100" tIns="19050" rIns="38100" bIns="19050" anchor="ctr" anchorCtr="1"/>
                  <a:lstStyle/>
                  <a:p>
                    <a:pPr>
                      <a:defRPr lang="zh-CN" sz="800" b="0" i="0" u="none" strike="noStrike" kern="1200" baseline="0">
                        <a:solidFill>
                          <a:schemeClr val="tx1">
                            <a:lumMod val="75000"/>
                            <a:lumOff val="25000"/>
                          </a:schemeClr>
                        </a:solidFill>
                        <a:latin typeface="Times New Roman" panose="02020603050405020304" charset="0"/>
                        <a:ea typeface="+mn-ea"/>
                        <a:cs typeface="Times New Roman" panose="02020603050405020304" charset="0"/>
                      </a:defRPr>
                    </a:pPr>
                    <a:r>
                      <a:rPr sz="800">
                        <a:latin typeface="Times New Roman" panose="02020603050405020304" charset="0"/>
                        <a:cs typeface="Times New Roman" panose="02020603050405020304" charset="0"/>
                      </a:rPr>
                      <a:t>1</a:t>
                    </a:r>
                    <a:r>
                      <a:rPr lang="en-US" altLang="zh-CN" sz="800">
                        <a:latin typeface="Times New Roman" panose="02020603050405020304" charset="0"/>
                        <a:cs typeface="Times New Roman" panose="02020603050405020304" charset="0"/>
                      </a:rPr>
                      <a:t>829</a:t>
                    </a:r>
                    <a:endParaRPr lang="en-US" altLang="zh-CN" sz="800">
                      <a:latin typeface="Times New Roman" panose="02020603050405020304" charset="0"/>
                      <a:cs typeface="Times New Roman" panose="02020603050405020304" charset="0"/>
                    </a:endParaRPr>
                  </a:p>
                </c:rich>
              </c:tx>
              <c:dLblPos val="outEnd"/>
              <c:showLegendKey val="0"/>
              <c:showVal val="1"/>
              <c:showCatName val="0"/>
              <c:showSerName val="0"/>
              <c:showPercent val="0"/>
              <c:showBubbleSize val="0"/>
              <c:extLst>
                <c:ext xmlns:c15="http://schemas.microsoft.com/office/drawing/2012/chart" uri="{CE6537A1-D6FC-4f65-9D91-7224C49458BB}"/>
              </c:extLst>
            </c:dLbl>
            <c:dLbl>
              <c:idx val="1"/>
              <c:layout/>
              <c:tx>
                <c:rich>
                  <a:bodyPr rot="0" spcFirstLastPara="1" vertOverflow="ellipsis" vert="horz" wrap="square" lIns="38100" tIns="19050" rIns="38100" bIns="19050" anchor="ctr" anchorCtr="1"/>
                  <a:lstStyle/>
                  <a:p>
                    <a:pPr>
                      <a:defRPr lang="zh-CN" sz="800" b="0" i="0" u="none" strike="noStrike" kern="1200" baseline="0">
                        <a:solidFill>
                          <a:schemeClr val="tx1">
                            <a:lumMod val="75000"/>
                            <a:lumOff val="25000"/>
                          </a:schemeClr>
                        </a:solidFill>
                        <a:latin typeface="Times New Roman" panose="02020603050405020304" charset="0"/>
                        <a:ea typeface="+mn-ea"/>
                        <a:cs typeface="Times New Roman" panose="02020603050405020304" charset="0"/>
                      </a:defRPr>
                    </a:pPr>
                    <a:r>
                      <a:rPr sz="800">
                        <a:latin typeface="Times New Roman" panose="02020603050405020304" charset="0"/>
                        <a:cs typeface="Times New Roman" panose="02020603050405020304" charset="0"/>
                      </a:rPr>
                      <a:t>38</a:t>
                    </a:r>
                    <a:r>
                      <a:rPr lang="en-US" altLang="zh-CN" sz="800">
                        <a:latin typeface="Times New Roman" panose="02020603050405020304" charset="0"/>
                        <a:cs typeface="Times New Roman" panose="02020603050405020304" charset="0"/>
                      </a:rPr>
                      <a:t>1</a:t>
                    </a:r>
                    <a:endParaRPr lang="en-US" altLang="zh-CN" sz="800">
                      <a:latin typeface="Times New Roman" panose="02020603050405020304" charset="0"/>
                      <a:cs typeface="Times New Roman" panose="02020603050405020304" charset="0"/>
                    </a:endParaRPr>
                  </a:p>
                </c:rich>
              </c:tx>
              <c:dLblPos val="outEnd"/>
              <c:showLegendKey val="0"/>
              <c:showVal val="1"/>
              <c:showCatName val="0"/>
              <c:showSerName val="0"/>
              <c:showPercent val="0"/>
              <c:showBubbleSize val="0"/>
              <c:extLst>
                <c:ext xmlns:c15="http://schemas.microsoft.com/office/drawing/2012/chart" uri="{CE6537A1-D6FC-4f65-9D91-7224C49458BB}"/>
              </c:extLst>
            </c:dLbl>
            <c:dLbl>
              <c:idx val="2"/>
              <c:layout/>
              <c:tx>
                <c:rich>
                  <a:bodyPr rot="0" spcFirstLastPara="1" vertOverflow="ellipsis" vert="horz" wrap="square" lIns="38100" tIns="19050" rIns="38100" bIns="19050" anchor="ctr" anchorCtr="1"/>
                  <a:lstStyle/>
                  <a:p>
                    <a:pPr>
                      <a:defRPr lang="zh-CN" sz="800" b="0" i="0" u="none" strike="noStrike" kern="1200" baseline="0">
                        <a:solidFill>
                          <a:schemeClr val="tx1">
                            <a:lumMod val="75000"/>
                            <a:lumOff val="25000"/>
                          </a:schemeClr>
                        </a:solidFill>
                        <a:latin typeface="Times New Roman" panose="02020603050405020304" charset="0"/>
                        <a:ea typeface="+mn-ea"/>
                        <a:cs typeface="Times New Roman" panose="02020603050405020304" charset="0"/>
                      </a:defRPr>
                    </a:pPr>
                    <a:r>
                      <a:rPr sz="800">
                        <a:latin typeface="Times New Roman" panose="02020603050405020304" charset="0"/>
                        <a:cs typeface="Times New Roman" panose="02020603050405020304" charset="0"/>
                      </a:rPr>
                      <a:t>48</a:t>
                    </a:r>
                    <a:r>
                      <a:rPr lang="en-US" altLang="zh-CN" sz="800">
                        <a:latin typeface="Times New Roman" panose="02020603050405020304" charset="0"/>
                        <a:cs typeface="Times New Roman" panose="02020603050405020304" charset="0"/>
                      </a:rPr>
                      <a:t>1</a:t>
                    </a:r>
                    <a:endParaRPr lang="en-US" altLang="zh-CN" sz="800">
                      <a:latin typeface="Times New Roman" panose="02020603050405020304" charset="0"/>
                      <a:cs typeface="Times New Roman" panose="02020603050405020304" charset="0"/>
                    </a:endParaRPr>
                  </a:p>
                </c:rich>
              </c:tx>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lang="zh-CN" sz="800" b="0" i="0" u="none" strike="noStrike" kern="1200" baseline="0">
                    <a:solidFill>
                      <a:schemeClr val="tx1">
                        <a:lumMod val="75000"/>
                        <a:lumOff val="25000"/>
                      </a:schemeClr>
                    </a:solidFill>
                    <a:latin typeface="Times New Roman" panose="02020603050405020304" charset="0"/>
                    <a:ea typeface="+mn-ea"/>
                    <a:cs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Sheet1!$B$1:$D$1</c:f>
              <c:strCache>
                <c:ptCount val="3"/>
                <c:pt idx="0">
                  <c:v>关中</c:v>
                </c:pt>
                <c:pt idx="1">
                  <c:v>陕北</c:v>
                </c:pt>
                <c:pt idx="2">
                  <c:v>陕南</c:v>
                </c:pt>
              </c:strCache>
            </c:strRef>
          </c:cat>
          <c:val>
            <c:numRef>
              <c:f>Sheet1!$B$2:$D$2</c:f>
              <c:numCache>
                <c:formatCode>General</c:formatCode>
                <c:ptCount val="3"/>
                <c:pt idx="0">
                  <c:v>1917</c:v>
                </c:pt>
                <c:pt idx="1">
                  <c:v>387</c:v>
                </c:pt>
                <c:pt idx="2">
                  <c:v>484</c:v>
                </c:pt>
              </c:numCache>
            </c:numRef>
          </c:val>
        </c:ser>
        <c:dLbls>
          <c:showLegendKey val="0"/>
          <c:showVal val="1"/>
          <c:showCatName val="0"/>
          <c:showSerName val="0"/>
          <c:showPercent val="0"/>
          <c:showBubbleSize val="0"/>
        </c:dLbls>
        <c:gapWidth val="219"/>
        <c:overlap val="-27"/>
        <c:axId val="314504320"/>
        <c:axId val="314505856"/>
      </c:barChart>
      <c:catAx>
        <c:axId val="3145043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14505856"/>
        <c:crosses val="autoZero"/>
        <c:auto val="1"/>
        <c:lblAlgn val="ctr"/>
        <c:lblOffset val="100"/>
        <c:noMultiLvlLbl val="0"/>
      </c:catAx>
      <c:valAx>
        <c:axId val="31450585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8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p>
        </c:txPr>
        <c:crossAx val="314504320"/>
        <c:crosses val="autoZero"/>
        <c:crossBetween val="between"/>
      </c:valAx>
      <c:spPr>
        <a:noFill/>
        <a:ln>
          <a:noFill/>
        </a:ln>
        <a:effectLst/>
      </c:spPr>
    </c:plotArea>
    <c:plotVisOnly val="1"/>
    <c:dispBlanksAs val="gap"/>
    <c:showDLblsOverMax val="0"/>
  </c:chart>
  <c:spPr>
    <a:noFill/>
    <a:ln w="6350" cap="flat" cmpd="sng" algn="ctr">
      <a:noFill/>
      <a:prstDash val="solid"/>
      <a:round/>
    </a:ln>
    <a:effectLst/>
  </c:spPr>
  <c:txPr>
    <a:bodyPr/>
    <a:lstStyle/>
    <a:p>
      <a:pPr>
        <a:defRPr lang="zh-CN"/>
      </a:pPr>
    </a:p>
  </c:txPr>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“十四五”规划投资（亿元）</c:v>
                </c:pt>
              </c:strCache>
            </c:strRef>
          </c:tx>
          <c:spPr>
            <a:solidFill>
              <a:srgbClr val="008080"/>
            </a:solidFill>
            <a:ln>
              <a:noFill/>
            </a:ln>
            <a:effectLst/>
          </c:spPr>
          <c:invertIfNegative val="0"/>
          <c:dLbls>
            <c:dLbl>
              <c:idx val="0"/>
              <c:layout/>
              <c:tx>
                <c:rich>
                  <a:bodyPr rot="0" spcFirstLastPara="1" vertOverflow="ellipsis" vert="horz" wrap="square" lIns="38100" tIns="19050" rIns="38100" bIns="19050" anchor="ctr" anchorCtr="1"/>
                  <a:lstStyle/>
                  <a:p>
                    <a:pPr>
                      <a:defRPr lang="zh-CN" sz="800" b="0" i="0" u="none" strike="noStrike" kern="1200" baseline="0">
                        <a:solidFill>
                          <a:schemeClr val="tx1">
                            <a:lumMod val="75000"/>
                            <a:lumOff val="25000"/>
                          </a:schemeClr>
                        </a:solidFill>
                        <a:latin typeface="Times New Roman" panose="02020603050405020304" charset="0"/>
                        <a:ea typeface="+mn-ea"/>
                        <a:cs typeface="Times New Roman" panose="02020603050405020304" charset="0"/>
                      </a:defRPr>
                    </a:pPr>
                    <a:r>
                      <a:rPr sz="800">
                        <a:latin typeface="Times New Roman" panose="02020603050405020304" charset="0"/>
                        <a:cs typeface="Times New Roman" panose="02020603050405020304" charset="0"/>
                      </a:rPr>
                      <a:t>1</a:t>
                    </a:r>
                    <a:r>
                      <a:rPr lang="en-US" altLang="zh-CN" sz="800">
                        <a:latin typeface="Times New Roman" panose="02020603050405020304" charset="0"/>
                        <a:cs typeface="Times New Roman" panose="02020603050405020304" charset="0"/>
                      </a:rPr>
                      <a:t>0</a:t>
                    </a:r>
                    <a:r>
                      <a:rPr sz="800">
                        <a:latin typeface="Times New Roman" panose="02020603050405020304" charset="0"/>
                        <a:cs typeface="Times New Roman" panose="02020603050405020304" charset="0"/>
                      </a:rPr>
                      <a:t>.</a:t>
                    </a:r>
                    <a:r>
                      <a:rPr lang="en-US" altLang="zh-CN" sz="800">
                        <a:latin typeface="Times New Roman" panose="02020603050405020304" charset="0"/>
                        <a:cs typeface="Times New Roman" panose="02020603050405020304" charset="0"/>
                      </a:rPr>
                      <a:t>7</a:t>
                    </a:r>
                    <a:endParaRPr lang="en-US" altLang="zh-CN" sz="800">
                      <a:latin typeface="Times New Roman" panose="02020603050405020304" charset="0"/>
                      <a:cs typeface="Times New Roman" panose="02020603050405020304" charset="0"/>
                    </a:endParaRPr>
                  </a:p>
                </c:rich>
              </c:tx>
              <c:dLblPos val="outEnd"/>
              <c:showLegendKey val="0"/>
              <c:showVal val="1"/>
              <c:showCatName val="0"/>
              <c:showSerName val="0"/>
              <c:showPercent val="0"/>
              <c:showBubbleSize val="0"/>
              <c:extLst>
                <c:ext xmlns:c15="http://schemas.microsoft.com/office/drawing/2012/chart" uri="{CE6537A1-D6FC-4f65-9D91-7224C49458BB}"/>
              </c:extLst>
            </c:dLbl>
            <c:dLbl>
              <c:idx val="3"/>
              <c:layout/>
              <c:tx>
                <c:rich>
                  <a:bodyPr rot="0" spcFirstLastPara="1" vertOverflow="ellipsis" vert="horz" wrap="square" lIns="38100" tIns="19050" rIns="38100" bIns="19050" anchor="ctr" anchorCtr="1"/>
                  <a:lstStyle/>
                  <a:p>
                    <a:pPr>
                      <a:defRPr lang="zh-CN" sz="800" b="0" i="0" u="none" strike="noStrike" kern="1200" baseline="0">
                        <a:solidFill>
                          <a:schemeClr val="tx1">
                            <a:lumMod val="75000"/>
                            <a:lumOff val="25000"/>
                          </a:schemeClr>
                        </a:solidFill>
                        <a:latin typeface="Times New Roman" panose="02020603050405020304" charset="0"/>
                        <a:ea typeface="+mn-ea"/>
                        <a:cs typeface="Times New Roman" panose="02020603050405020304" charset="0"/>
                      </a:defRPr>
                    </a:pPr>
                    <a:r>
                      <a:rPr sz="800">
                        <a:latin typeface="Times New Roman" panose="02020603050405020304" charset="0"/>
                        <a:cs typeface="Times New Roman" panose="02020603050405020304" charset="0"/>
                      </a:rPr>
                      <a:t>7</a:t>
                    </a:r>
                    <a:r>
                      <a:rPr lang="en-US" altLang="zh-CN" sz="800">
                        <a:latin typeface="Times New Roman" panose="02020603050405020304" charset="0"/>
                        <a:cs typeface="Times New Roman" panose="02020603050405020304" charset="0"/>
                      </a:rPr>
                      <a:t>0.9</a:t>
                    </a:r>
                    <a:endParaRPr lang="en-US" altLang="zh-CN" sz="800">
                      <a:latin typeface="Times New Roman" panose="02020603050405020304" charset="0"/>
                      <a:cs typeface="Times New Roman" panose="02020603050405020304" charset="0"/>
                    </a:endParaRPr>
                  </a:p>
                </c:rich>
              </c:tx>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lang="zh-CN" sz="800" b="0" i="0" u="none" strike="noStrike" kern="1200" baseline="0">
                    <a:solidFill>
                      <a:schemeClr val="tx1">
                        <a:lumMod val="75000"/>
                        <a:lumOff val="25000"/>
                      </a:schemeClr>
                    </a:solidFill>
                    <a:latin typeface="Times New Roman" panose="02020603050405020304" charset="0"/>
                    <a:ea typeface="+mn-ea"/>
                    <a:cs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Sheet1!$A$2:$A$5</c:f>
              <c:strCache>
                <c:ptCount val="4"/>
                <c:pt idx="0">
                  <c:v>专用充电设施</c:v>
                </c:pt>
                <c:pt idx="1">
                  <c:v>公共充电设施</c:v>
                </c:pt>
                <c:pt idx="2">
                  <c:v>私人及公务充电设施</c:v>
                </c:pt>
                <c:pt idx="3">
                  <c:v>合计</c:v>
                </c:pt>
              </c:strCache>
            </c:strRef>
          </c:cat>
          <c:val>
            <c:numRef>
              <c:f>Sheet1!$B$2:$B$5</c:f>
              <c:numCache>
                <c:formatCode>General</c:formatCode>
                <c:ptCount val="4"/>
                <c:pt idx="0">
                  <c:v>14.8</c:v>
                </c:pt>
                <c:pt idx="1">
                  <c:v>51.4</c:v>
                </c:pt>
                <c:pt idx="2">
                  <c:v>8.8</c:v>
                </c:pt>
                <c:pt idx="3">
                  <c:v>75</c:v>
                </c:pt>
              </c:numCache>
            </c:numRef>
          </c:val>
        </c:ser>
        <c:dLbls>
          <c:showLegendKey val="0"/>
          <c:showVal val="1"/>
          <c:showCatName val="0"/>
          <c:showSerName val="0"/>
          <c:showPercent val="0"/>
          <c:showBubbleSize val="0"/>
        </c:dLbls>
        <c:gapWidth val="219"/>
        <c:overlap val="-27"/>
        <c:axId val="314513280"/>
        <c:axId val="314514816"/>
      </c:barChart>
      <c:catAx>
        <c:axId val="3145132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800" b="0" i="0" u="none" strike="noStrike" kern="1200" baseline="0">
                <a:solidFill>
                  <a:schemeClr val="tx1">
                    <a:lumMod val="65000"/>
                    <a:lumOff val="35000"/>
                  </a:schemeClr>
                </a:solidFill>
                <a:latin typeface="+mn-lt"/>
                <a:ea typeface="+mn-ea"/>
                <a:cs typeface="+mn-cs"/>
              </a:defRPr>
            </a:pPr>
          </a:p>
        </c:txPr>
        <c:crossAx val="314514816"/>
        <c:crosses val="autoZero"/>
        <c:auto val="1"/>
        <c:lblAlgn val="ctr"/>
        <c:lblOffset val="100"/>
        <c:noMultiLvlLbl val="0"/>
      </c:catAx>
      <c:valAx>
        <c:axId val="31451481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8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p>
        </c:txPr>
        <c:crossAx val="314513280"/>
        <c:crosses val="autoZero"/>
        <c:crossBetween val="between"/>
      </c:valAx>
      <c:spPr>
        <a:noFill/>
        <a:ln>
          <a:noFill/>
        </a:ln>
        <a:effectLst/>
      </c:spPr>
    </c:plotArea>
    <c:plotVisOnly val="1"/>
    <c:dispBlanksAs val="gap"/>
    <c:showDLblsOverMax val="0"/>
  </c:chart>
  <c:spPr>
    <a:noFill/>
    <a:ln w="6350" cap="flat" cmpd="sng" algn="ctr">
      <a:noFill/>
      <a:prstDash val="solid"/>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Sheet1!$A$56</c:f>
              <c:strCache>
                <c:ptCount val="1"/>
                <c:pt idx="0">
                  <c:v>陕西人均地区生产总值(元/人）</c:v>
                </c:pt>
              </c:strCache>
            </c:strRef>
          </c:tx>
          <c:spPr>
            <a:solidFill>
              <a:srgbClr val="00706B"/>
            </a:solidFill>
            <a:ln>
              <a:noFill/>
            </a:ln>
            <a:effectLst/>
          </c:spPr>
          <c:invertIfNegative val="0"/>
          <c:dLbls>
            <c:dLbl>
              <c:idx val="0"/>
              <c:layout>
                <c:manualLayout>
                  <c:x val="0"/>
                  <c:y val="0.01774691501789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
                  <c:y val="0.023662553357194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8.58711636090915e-17"/>
                  <c:y val="0.029578191696493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
                  <c:y val="0.023662553357194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
                  <c:y val="0.029578191696493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
                  <c:y val="0.035493830035791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0140518072800164"/>
                  <c:y val="0.029578191696493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0.00468393576000544"/>
                  <c:y val="0.035493830035791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0.00234196788000274"/>
                  <c:y val="0.029578191696493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0.00234196788000274"/>
                  <c:y val="0.029578191696493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0"/>
              <c:layout>
                <c:manualLayout>
                  <c:x val="-0.00234196788000274"/>
                  <c:y val="0.029578191696493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700" b="0" i="0" u="none" strike="noStrike" kern="1200" baseline="0">
                    <a:solidFill>
                      <a:schemeClr val="tx1"/>
                    </a:solidFill>
                    <a:latin typeface="Times New Roman" panose="02020603050405020304" charset="0"/>
                    <a:ea typeface="+mn-ea"/>
                    <a:cs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numRef>
              <c:f>Sheet1!$B$55:$L$55</c:f>
              <c:numCache>
                <c:formatCode>General</c:formatCode>
                <c:ptCount val="11"/>
                <c:pt idx="0">
                  <c:v>2019</c:v>
                </c:pt>
                <c:pt idx="1">
                  <c:v>2018</c:v>
                </c:pt>
                <c:pt idx="2">
                  <c:v>2017</c:v>
                </c:pt>
                <c:pt idx="3">
                  <c:v>2016</c:v>
                </c:pt>
                <c:pt idx="4">
                  <c:v>2015</c:v>
                </c:pt>
                <c:pt idx="5">
                  <c:v>2014</c:v>
                </c:pt>
                <c:pt idx="6">
                  <c:v>2013</c:v>
                </c:pt>
                <c:pt idx="7">
                  <c:v>2012</c:v>
                </c:pt>
                <c:pt idx="8">
                  <c:v>2011</c:v>
                </c:pt>
                <c:pt idx="9">
                  <c:v>2010</c:v>
                </c:pt>
                <c:pt idx="10">
                  <c:v>2009</c:v>
                </c:pt>
              </c:numCache>
            </c:numRef>
          </c:cat>
          <c:val>
            <c:numRef>
              <c:f>Sheet1!$B$56:$L$56</c:f>
              <c:numCache>
                <c:formatCode>General</c:formatCode>
                <c:ptCount val="11"/>
                <c:pt idx="0">
                  <c:v>66649</c:v>
                </c:pt>
                <c:pt idx="1">
                  <c:v>62195</c:v>
                </c:pt>
                <c:pt idx="2">
                  <c:v>57266</c:v>
                </c:pt>
                <c:pt idx="3">
                  <c:v>51015</c:v>
                </c:pt>
                <c:pt idx="4">
                  <c:v>47626</c:v>
                </c:pt>
                <c:pt idx="5">
                  <c:v>46929</c:v>
                </c:pt>
                <c:pt idx="6">
                  <c:v>43117</c:v>
                </c:pt>
                <c:pt idx="7">
                  <c:v>38564</c:v>
                </c:pt>
                <c:pt idx="8">
                  <c:v>33464</c:v>
                </c:pt>
                <c:pt idx="9">
                  <c:v>27133</c:v>
                </c:pt>
                <c:pt idx="10">
                  <c:v>21947</c:v>
                </c:pt>
              </c:numCache>
            </c:numRef>
          </c:val>
        </c:ser>
        <c:ser>
          <c:idx val="1"/>
          <c:order val="1"/>
          <c:tx>
            <c:strRef>
              <c:f>Sheet1!$A$57</c:f>
              <c:strCache>
                <c:ptCount val="1"/>
                <c:pt idx="0">
                  <c:v>全国人均国内生产总值（元）</c:v>
                </c:pt>
              </c:strCache>
            </c:strRef>
          </c:tx>
          <c:spPr>
            <a:solidFill>
              <a:srgbClr val="FFC000"/>
            </a:solidFill>
            <a:ln>
              <a:noFill/>
            </a:ln>
            <a:effectLst/>
          </c:spPr>
          <c:invertIfNegative val="0"/>
          <c:dLbls>
            <c:dLbl>
              <c:idx val="5"/>
              <c:layout>
                <c:manualLayout>
                  <c:x val="0.00833333333333335"/>
                  <c:y val="-0.0027995125762040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00937500000000014"/>
                  <c:y val="0.0083985377286121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0.0125"/>
                  <c:y val="0.0027995125762040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700" b="0" i="0" u="none" strike="noStrike" kern="1200" baseline="0">
                    <a:solidFill>
                      <a:schemeClr val="tx1"/>
                    </a:solidFill>
                    <a:latin typeface="Times New Roman" panose="02020603050405020304" charset="0"/>
                    <a:ea typeface="+mn-ea"/>
                    <a:cs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numRef>
              <c:f>Sheet1!$B$55:$L$55</c:f>
              <c:numCache>
                <c:formatCode>General</c:formatCode>
                <c:ptCount val="11"/>
                <c:pt idx="0">
                  <c:v>2019</c:v>
                </c:pt>
                <c:pt idx="1">
                  <c:v>2018</c:v>
                </c:pt>
                <c:pt idx="2">
                  <c:v>2017</c:v>
                </c:pt>
                <c:pt idx="3">
                  <c:v>2016</c:v>
                </c:pt>
                <c:pt idx="4">
                  <c:v>2015</c:v>
                </c:pt>
                <c:pt idx="5">
                  <c:v>2014</c:v>
                </c:pt>
                <c:pt idx="6">
                  <c:v>2013</c:v>
                </c:pt>
                <c:pt idx="7">
                  <c:v>2012</c:v>
                </c:pt>
                <c:pt idx="8">
                  <c:v>2011</c:v>
                </c:pt>
                <c:pt idx="9">
                  <c:v>2010</c:v>
                </c:pt>
                <c:pt idx="10">
                  <c:v>2009</c:v>
                </c:pt>
              </c:numCache>
            </c:numRef>
          </c:cat>
          <c:val>
            <c:numRef>
              <c:f>Sheet1!$B$57:$L$57</c:f>
              <c:numCache>
                <c:formatCode>General</c:formatCode>
                <c:ptCount val="11"/>
                <c:pt idx="0">
                  <c:v>70892</c:v>
                </c:pt>
                <c:pt idx="1">
                  <c:v>66006</c:v>
                </c:pt>
                <c:pt idx="2">
                  <c:v>60014</c:v>
                </c:pt>
                <c:pt idx="3">
                  <c:v>54139</c:v>
                </c:pt>
                <c:pt idx="4">
                  <c:v>50237</c:v>
                </c:pt>
                <c:pt idx="5">
                  <c:v>47173</c:v>
                </c:pt>
                <c:pt idx="6">
                  <c:v>43684</c:v>
                </c:pt>
                <c:pt idx="7">
                  <c:v>39874</c:v>
                </c:pt>
                <c:pt idx="8">
                  <c:v>36302</c:v>
                </c:pt>
                <c:pt idx="9">
                  <c:v>30808</c:v>
                </c:pt>
                <c:pt idx="10">
                  <c:v>26180</c:v>
                </c:pt>
              </c:numCache>
            </c:numRef>
          </c:val>
        </c:ser>
        <c:dLbls>
          <c:showLegendKey val="0"/>
          <c:showVal val="1"/>
          <c:showCatName val="0"/>
          <c:showSerName val="0"/>
          <c:showPercent val="0"/>
          <c:showBubbleSize val="0"/>
        </c:dLbls>
        <c:gapWidth val="219"/>
        <c:overlap val="-27"/>
        <c:axId val="282551808"/>
        <c:axId val="282559232"/>
      </c:barChart>
      <c:catAx>
        <c:axId val="282551808"/>
        <c:scaling>
          <c:orientation val="maxMin"/>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800" b="0" i="0" u="none" strike="noStrike" kern="1200" baseline="0">
                <a:solidFill>
                  <a:schemeClr val="tx1"/>
                </a:solidFill>
                <a:latin typeface="Times New Roman" panose="02020603050405020304" charset="0"/>
                <a:ea typeface="+mn-ea"/>
                <a:cs typeface="Times New Roman" panose="02020603050405020304" charset="0"/>
              </a:defRPr>
            </a:pPr>
          </a:p>
        </c:txPr>
        <c:crossAx val="282559232"/>
        <c:crosses val="autoZero"/>
        <c:auto val="1"/>
        <c:lblAlgn val="ctr"/>
        <c:lblOffset val="100"/>
        <c:noMultiLvlLbl val="0"/>
      </c:catAx>
      <c:valAx>
        <c:axId val="282559232"/>
        <c:scaling>
          <c:orientation val="minMax"/>
        </c:scaling>
        <c:delete val="0"/>
        <c:axPos val="r"/>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800" b="0" i="0" u="none" strike="noStrike" kern="1200" baseline="0">
                <a:solidFill>
                  <a:schemeClr val="tx1"/>
                </a:solidFill>
                <a:latin typeface="Times New Roman" panose="02020603050405020304" charset="0"/>
                <a:ea typeface="+mn-ea"/>
                <a:cs typeface="Times New Roman" panose="02020603050405020304" charset="0"/>
              </a:defRPr>
            </a:pPr>
          </a:p>
        </c:txPr>
        <c:crossAx val="28255180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800" b="0" i="0" u="none" strike="noStrike" kern="1200" baseline="0">
              <a:solidFill>
                <a:schemeClr val="tx1"/>
              </a:solidFill>
              <a:latin typeface="Times New Roman" panose="02020603050405020304" charset="0"/>
              <a:ea typeface="+mn-ea"/>
              <a:cs typeface="Times New Roman" panose="02020603050405020304" charset="0"/>
            </a:defRPr>
          </a:pPr>
        </a:p>
      </c:txPr>
    </c:legend>
    <c:plotVisOnly val="1"/>
    <c:dispBlanksAs val="gap"/>
    <c:showDLblsOverMax val="0"/>
  </c:chart>
  <c:spPr>
    <a:noFill/>
    <a:ln w="6350" cap="flat" cmpd="sng" algn="ctr">
      <a:noFill/>
      <a:prstDash val="solid"/>
      <a:round/>
    </a:ln>
    <a:effectLst/>
  </c:spPr>
  <c:txPr>
    <a:bodyPr/>
    <a:lstStyle/>
    <a:p>
      <a:pPr>
        <a:defRPr lang="zh-CN" sz="800">
          <a:latin typeface="Times New Roman" panose="02020603050405020304" charset="0"/>
          <a:cs typeface="Times New Roman" panose="02020603050405020304" charset="0"/>
        </a:defRPr>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Sheet1!$A$62</c:f>
              <c:strCache>
                <c:ptCount val="1"/>
                <c:pt idx="0">
                  <c:v>陕西人均地区生产总值/全国人均国内生产总值</c:v>
                </c:pt>
              </c:strCache>
            </c:strRef>
          </c:tx>
          <c:spPr>
            <a:ln w="28575" cap="rnd" cmpd="sng" algn="ctr">
              <a:solidFill>
                <a:srgbClr val="00706B"/>
              </a:solidFill>
              <a:prstDash val="solid"/>
              <a:round/>
            </a:ln>
            <a:effectLst/>
          </c:spPr>
          <c:marker>
            <c:symbol val="circle"/>
            <c:size val="5"/>
            <c:spPr>
              <a:solidFill>
                <a:srgbClr val="00706B"/>
              </a:solidFill>
              <a:ln w="9525" cap="flat" cmpd="sng" algn="ctr">
                <a:solidFill>
                  <a:srgbClr val="00706B"/>
                </a:solidFill>
                <a:prstDash val="solid"/>
                <a:round/>
              </a:ln>
              <a:effectLst/>
            </c:spPr>
          </c:marker>
          <c:dLbls>
            <c:spPr>
              <a:noFill/>
              <a:ln>
                <a:noFill/>
              </a:ln>
              <a:effectLst/>
            </c:spPr>
            <c:txPr>
              <a:bodyPr rot="0" spcFirstLastPara="0" vertOverflow="ellipsis" vert="horz" wrap="square" lIns="38100" tIns="19050" rIns="38100" bIns="19050" anchor="ctr" anchorCtr="1"/>
              <a:lstStyle/>
              <a:p>
                <a:pPr>
                  <a:defRPr lang="zh-CN" sz="800" b="0" i="0" u="none" strike="noStrike" kern="1200" baseline="0">
                    <a:solidFill>
                      <a:schemeClr val="tx1"/>
                    </a:solidFill>
                    <a:latin typeface="Times New Roman" panose="02020603050405020304" charset="0"/>
                    <a:ea typeface="+mn-ea"/>
                    <a:cs typeface="Times New Roman" panose="02020603050405020304" charset="0"/>
                  </a:defRPr>
                </a:pPr>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numRef>
              <c:f>Sheet1!$B$61:$L$61</c:f>
              <c:numCache>
                <c:formatCode>General</c:formatCode>
                <c:ptCount val="11"/>
                <c:pt idx="0">
                  <c:v>2019</c:v>
                </c:pt>
                <c:pt idx="1">
                  <c:v>2018</c:v>
                </c:pt>
                <c:pt idx="2">
                  <c:v>2017</c:v>
                </c:pt>
                <c:pt idx="3">
                  <c:v>2016</c:v>
                </c:pt>
                <c:pt idx="4">
                  <c:v>2015</c:v>
                </c:pt>
                <c:pt idx="5">
                  <c:v>2014</c:v>
                </c:pt>
                <c:pt idx="6">
                  <c:v>2013</c:v>
                </c:pt>
                <c:pt idx="7">
                  <c:v>2012</c:v>
                </c:pt>
                <c:pt idx="8">
                  <c:v>2011</c:v>
                </c:pt>
                <c:pt idx="9">
                  <c:v>2010</c:v>
                </c:pt>
                <c:pt idx="10">
                  <c:v>2009</c:v>
                </c:pt>
              </c:numCache>
            </c:numRef>
          </c:cat>
          <c:val>
            <c:numRef>
              <c:f>Sheet1!$B$62:$L$62</c:f>
              <c:numCache>
                <c:formatCode>General</c:formatCode>
                <c:ptCount val="11"/>
                <c:pt idx="0">
                  <c:v>0.9401</c:v>
                </c:pt>
                <c:pt idx="1">
                  <c:v>0.9422</c:v>
                </c:pt>
                <c:pt idx="2">
                  <c:v>0.9542</c:v>
                </c:pt>
                <c:pt idx="3">
                  <c:v>0.9423</c:v>
                </c:pt>
                <c:pt idx="4">
                  <c:v>0.948000000000002</c:v>
                </c:pt>
                <c:pt idx="5">
                  <c:v>0.9948</c:v>
                </c:pt>
                <c:pt idx="6">
                  <c:v>0.987</c:v>
                </c:pt>
                <c:pt idx="7">
                  <c:v>0.967100000000003</c:v>
                </c:pt>
                <c:pt idx="8">
                  <c:v>0.921800000000002</c:v>
                </c:pt>
                <c:pt idx="9">
                  <c:v>0.8807</c:v>
                </c:pt>
                <c:pt idx="10">
                  <c:v>0.8383</c:v>
                </c:pt>
              </c:numCache>
            </c:numRef>
          </c:val>
          <c:smooth val="0"/>
        </c:ser>
        <c:dLbls>
          <c:showLegendKey val="0"/>
          <c:showVal val="1"/>
          <c:showCatName val="0"/>
          <c:showSerName val="0"/>
          <c:showPercent val="0"/>
          <c:showBubbleSize val="0"/>
        </c:dLbls>
        <c:marker val="1"/>
        <c:smooth val="0"/>
        <c:axId val="282999424"/>
        <c:axId val="283008384"/>
      </c:lineChart>
      <c:catAx>
        <c:axId val="282999424"/>
        <c:scaling>
          <c:orientation val="maxMin"/>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800" b="0" i="0" u="none" strike="noStrike" kern="1200" baseline="0">
                <a:solidFill>
                  <a:schemeClr val="tx1"/>
                </a:solidFill>
                <a:latin typeface="Times New Roman" panose="02020603050405020304" charset="0"/>
                <a:ea typeface="+mn-ea"/>
                <a:cs typeface="Times New Roman" panose="02020603050405020304" charset="0"/>
              </a:defRPr>
            </a:pPr>
          </a:p>
        </c:txPr>
        <c:crossAx val="283008384"/>
        <c:crosses val="autoZero"/>
        <c:auto val="1"/>
        <c:lblAlgn val="ctr"/>
        <c:lblOffset val="100"/>
        <c:noMultiLvlLbl val="0"/>
      </c:catAx>
      <c:valAx>
        <c:axId val="283008384"/>
        <c:scaling>
          <c:orientation val="minMax"/>
        </c:scaling>
        <c:delete val="0"/>
        <c:axPos val="r"/>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800" b="0" i="0" u="none" strike="noStrike" kern="1200" baseline="0">
                <a:solidFill>
                  <a:schemeClr val="tx1"/>
                </a:solidFill>
                <a:latin typeface="Times New Roman" panose="02020603050405020304" charset="0"/>
                <a:ea typeface="+mn-ea"/>
                <a:cs typeface="Times New Roman" panose="02020603050405020304" charset="0"/>
              </a:defRPr>
            </a:pPr>
          </a:p>
        </c:txPr>
        <c:crossAx val="282999424"/>
        <c:crosses val="autoZero"/>
        <c:crossBetween val="between"/>
      </c:valAx>
      <c:spPr>
        <a:noFill/>
        <a:ln>
          <a:noFill/>
        </a:ln>
        <a:effectLst/>
      </c:spPr>
    </c:plotArea>
    <c:plotVisOnly val="1"/>
    <c:dispBlanksAs val="gap"/>
    <c:showDLblsOverMax val="0"/>
  </c:chart>
  <c:spPr>
    <a:noFill/>
    <a:ln w="6350" cap="flat" cmpd="sng" algn="ctr">
      <a:noFill/>
      <a:prstDash val="solid"/>
      <a:round/>
    </a:ln>
    <a:effectLst/>
  </c:spPr>
  <c:txPr>
    <a:bodyPr/>
    <a:lstStyle/>
    <a:p>
      <a:pPr>
        <a:defRPr lang="zh-CN" sz="800">
          <a:latin typeface="Times New Roman" panose="02020603050405020304" charset="0"/>
          <a:cs typeface="Times New Roman" panose="02020603050405020304" charset="0"/>
        </a:defRPr>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Sheet1!$A$29</c:f>
              <c:strCache>
                <c:ptCount val="1"/>
                <c:pt idx="0">
                  <c:v>陕西民用汽车拥有量(万辆)</c:v>
                </c:pt>
              </c:strCache>
            </c:strRef>
          </c:tx>
          <c:spPr>
            <a:ln w="22225" cap="rnd" cmpd="sng" algn="ctr">
              <a:solidFill>
                <a:srgbClr val="00706B"/>
              </a:solidFill>
              <a:prstDash val="solid"/>
              <a:round/>
            </a:ln>
            <a:effectLst/>
          </c:spPr>
          <c:marker>
            <c:symbol val="diamond"/>
            <c:size val="6"/>
            <c:spPr>
              <a:solidFill>
                <a:srgbClr val="00706B"/>
              </a:solidFill>
              <a:ln w="9525" cap="flat" cmpd="sng" algn="ctr">
                <a:solidFill>
                  <a:srgbClr val="00706B"/>
                </a:solidFill>
                <a:prstDash val="solid"/>
                <a:round/>
              </a:ln>
              <a:effectLst/>
            </c:spPr>
          </c:marker>
          <c:dLbls>
            <c:spPr>
              <a:noFill/>
              <a:ln>
                <a:noFill/>
              </a:ln>
              <a:effectLst/>
            </c:spPr>
            <c:txPr>
              <a:bodyPr rot="0" spcFirstLastPara="1" vertOverflow="ellipsis" vert="horz" wrap="square" lIns="38100" tIns="19050" rIns="38100" bIns="19050" anchor="ctr" anchorCtr="1">
                <a:spAutoFit/>
              </a:bodyPr>
              <a:lstStyle/>
              <a:p>
                <a:pPr>
                  <a:defRPr lang="zh-CN" sz="800" b="0" i="0" u="none" strike="noStrike" kern="1200" baseline="0">
                    <a:solidFill>
                      <a:schemeClr val="tx1">
                        <a:lumMod val="50000"/>
                        <a:lumOff val="50000"/>
                      </a:schemeClr>
                    </a:solidFill>
                    <a:latin typeface="Times New Roman" panose="02020603050405020304" charset="0"/>
                    <a:ea typeface="+mn-ea"/>
                    <a:cs typeface="Times New Roman" panose="02020603050405020304" charset="0"/>
                  </a:defRPr>
                </a:pPr>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numRef>
              <c:f>Sheet1!$B$28:$L$28</c:f>
              <c:numCache>
                <c:formatCode>General</c:formatCode>
                <c:ptCount val="11"/>
                <c:pt idx="0">
                  <c:v>2019</c:v>
                </c:pt>
                <c:pt idx="1">
                  <c:v>2018</c:v>
                </c:pt>
                <c:pt idx="2">
                  <c:v>2017</c:v>
                </c:pt>
                <c:pt idx="3">
                  <c:v>2016</c:v>
                </c:pt>
                <c:pt idx="4">
                  <c:v>2015</c:v>
                </c:pt>
                <c:pt idx="5">
                  <c:v>2014</c:v>
                </c:pt>
                <c:pt idx="6">
                  <c:v>2013</c:v>
                </c:pt>
                <c:pt idx="7">
                  <c:v>2012</c:v>
                </c:pt>
                <c:pt idx="8">
                  <c:v>2011</c:v>
                </c:pt>
                <c:pt idx="9">
                  <c:v>2010</c:v>
                </c:pt>
                <c:pt idx="10">
                  <c:v>2009</c:v>
                </c:pt>
              </c:numCache>
            </c:numRef>
          </c:cat>
          <c:val>
            <c:numRef>
              <c:f>Sheet1!$B$29:$L$29</c:f>
              <c:numCache>
                <c:formatCode>General</c:formatCode>
                <c:ptCount val="11"/>
                <c:pt idx="0">
                  <c:v>682</c:v>
                </c:pt>
                <c:pt idx="1">
                  <c:v>616</c:v>
                </c:pt>
                <c:pt idx="2">
                  <c:v>549</c:v>
                </c:pt>
                <c:pt idx="3">
                  <c:v>491</c:v>
                </c:pt>
                <c:pt idx="4">
                  <c:v>438</c:v>
                </c:pt>
                <c:pt idx="5">
                  <c:v>384</c:v>
                </c:pt>
                <c:pt idx="6">
                  <c:v>336</c:v>
                </c:pt>
                <c:pt idx="7">
                  <c:v>284</c:v>
                </c:pt>
                <c:pt idx="8">
                  <c:v>236</c:v>
                </c:pt>
                <c:pt idx="9">
                  <c:v>190</c:v>
                </c:pt>
                <c:pt idx="10">
                  <c:v>146</c:v>
                </c:pt>
              </c:numCache>
            </c:numRef>
          </c:val>
          <c:smooth val="0"/>
        </c:ser>
        <c:ser>
          <c:idx val="1"/>
          <c:order val="1"/>
          <c:tx>
            <c:strRef>
              <c:f>Sheet1!$A$30</c:f>
              <c:strCache>
                <c:ptCount val="1"/>
                <c:pt idx="0">
                  <c:v>全国民用汽车拥有量(万辆)</c:v>
                </c:pt>
              </c:strCache>
            </c:strRef>
          </c:tx>
          <c:spPr>
            <a:ln w="22225" cap="rnd" cmpd="sng" algn="ctr">
              <a:solidFill>
                <a:srgbClr val="FFC000"/>
              </a:solidFill>
              <a:prstDash val="solid"/>
              <a:round/>
            </a:ln>
            <a:effectLst/>
          </c:spPr>
          <c:marker>
            <c:symbol val="square"/>
            <c:size val="6"/>
            <c:spPr>
              <a:solidFill>
                <a:schemeClr val="accent2"/>
              </a:solidFill>
              <a:ln w="9525" cap="flat" cmpd="sng" algn="ctr">
                <a:solidFill>
                  <a:srgbClr val="FFC000"/>
                </a:solidFill>
                <a:prstDash val="solid"/>
                <a:round/>
              </a:ln>
              <a:effectLst/>
            </c:spPr>
          </c:marker>
          <c:dLbls>
            <c:spPr>
              <a:noFill/>
              <a:ln>
                <a:noFill/>
              </a:ln>
              <a:effectLst/>
            </c:spPr>
            <c:txPr>
              <a:bodyPr rot="0" spcFirstLastPara="1" vertOverflow="ellipsis" vert="horz" wrap="square" lIns="38100" tIns="19050" rIns="38100" bIns="19050" anchor="ctr" anchorCtr="1">
                <a:spAutoFit/>
              </a:bodyPr>
              <a:lstStyle/>
              <a:p>
                <a:pPr>
                  <a:defRPr lang="zh-CN" sz="800" b="0" i="0" u="none" strike="noStrike" kern="1200" baseline="0">
                    <a:solidFill>
                      <a:schemeClr val="tx1">
                        <a:lumMod val="50000"/>
                        <a:lumOff val="50000"/>
                      </a:schemeClr>
                    </a:solidFill>
                    <a:latin typeface="Times New Roman" panose="02020603050405020304" charset="0"/>
                    <a:ea typeface="+mn-ea"/>
                    <a:cs typeface="Times New Roman" panose="02020603050405020304" charset="0"/>
                  </a:defRPr>
                </a:pPr>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numRef>
              <c:f>Sheet1!$B$28:$L$28</c:f>
              <c:numCache>
                <c:formatCode>General</c:formatCode>
                <c:ptCount val="11"/>
                <c:pt idx="0">
                  <c:v>2019</c:v>
                </c:pt>
                <c:pt idx="1">
                  <c:v>2018</c:v>
                </c:pt>
                <c:pt idx="2">
                  <c:v>2017</c:v>
                </c:pt>
                <c:pt idx="3">
                  <c:v>2016</c:v>
                </c:pt>
                <c:pt idx="4">
                  <c:v>2015</c:v>
                </c:pt>
                <c:pt idx="5">
                  <c:v>2014</c:v>
                </c:pt>
                <c:pt idx="6">
                  <c:v>2013</c:v>
                </c:pt>
                <c:pt idx="7">
                  <c:v>2012</c:v>
                </c:pt>
                <c:pt idx="8">
                  <c:v>2011</c:v>
                </c:pt>
                <c:pt idx="9">
                  <c:v>2010</c:v>
                </c:pt>
                <c:pt idx="10">
                  <c:v>2009</c:v>
                </c:pt>
              </c:numCache>
            </c:numRef>
          </c:cat>
          <c:val>
            <c:numRef>
              <c:f>Sheet1!$B$30:$L$30</c:f>
              <c:numCache>
                <c:formatCode>General</c:formatCode>
                <c:ptCount val="11"/>
                <c:pt idx="0">
                  <c:v>25387</c:v>
                </c:pt>
                <c:pt idx="1">
                  <c:v>23231</c:v>
                </c:pt>
                <c:pt idx="2">
                  <c:v>20906</c:v>
                </c:pt>
                <c:pt idx="3">
                  <c:v>18574</c:v>
                </c:pt>
                <c:pt idx="4">
                  <c:v>16284</c:v>
                </c:pt>
                <c:pt idx="5">
                  <c:v>14598</c:v>
                </c:pt>
                <c:pt idx="6">
                  <c:v>12670</c:v>
                </c:pt>
                <c:pt idx="7">
                  <c:v>10933</c:v>
                </c:pt>
                <c:pt idx="8">
                  <c:v>9356</c:v>
                </c:pt>
                <c:pt idx="9">
                  <c:v>7801</c:v>
                </c:pt>
                <c:pt idx="10">
                  <c:v>6280</c:v>
                </c:pt>
              </c:numCache>
            </c:numRef>
          </c:val>
          <c:smooth val="0"/>
        </c:ser>
        <c:dLbls>
          <c:showLegendKey val="0"/>
          <c:showVal val="1"/>
          <c:showCatName val="0"/>
          <c:showSerName val="0"/>
          <c:showPercent val="0"/>
          <c:showBubbleSize val="0"/>
        </c:dLbls>
        <c:marker val="1"/>
        <c:smooth val="0"/>
        <c:axId val="283339392"/>
        <c:axId val="283371008"/>
      </c:lineChart>
      <c:catAx>
        <c:axId val="283339392"/>
        <c:scaling>
          <c:orientation val="maxMin"/>
        </c:scaling>
        <c:delete val="0"/>
        <c:axPos val="b"/>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800" b="0" i="0" u="none" strike="noStrike" kern="1200" cap="all" spc="120" normalizeH="0" baseline="0">
                <a:solidFill>
                  <a:schemeClr val="tx1">
                    <a:lumMod val="65000"/>
                    <a:lumOff val="35000"/>
                  </a:schemeClr>
                </a:solidFill>
                <a:latin typeface="Times New Roman" panose="02020603050405020304" charset="0"/>
                <a:ea typeface="+mn-ea"/>
                <a:cs typeface="Times New Roman" panose="02020603050405020304" charset="0"/>
              </a:defRPr>
            </a:pPr>
          </a:p>
        </c:txPr>
        <c:crossAx val="283371008"/>
        <c:crosses val="autoZero"/>
        <c:auto val="1"/>
        <c:lblAlgn val="ctr"/>
        <c:lblOffset val="100"/>
        <c:noMultiLvlLbl val="0"/>
      </c:catAx>
      <c:valAx>
        <c:axId val="283371008"/>
        <c:scaling>
          <c:orientation val="minMax"/>
        </c:scaling>
        <c:delete val="0"/>
        <c:axPos val="r"/>
        <c:numFmt formatCode="General" sourceLinked="1"/>
        <c:majorTickMark val="none"/>
        <c:minorTickMark val="none"/>
        <c:tickLblPos val="nextTo"/>
        <c:spPr>
          <a:noFill/>
          <a:ln w="9525" cap="flat" cmpd="sng" algn="ctr">
            <a:solidFill>
              <a:schemeClr val="dk1">
                <a:lumMod val="15000"/>
                <a:lumOff val="85000"/>
              </a:schemeClr>
            </a:solidFill>
            <a:prstDash val="solid"/>
            <a:round/>
          </a:ln>
          <a:effectLst/>
        </c:spPr>
        <c:txPr>
          <a:bodyPr rot="-60000000" spcFirstLastPara="1" vertOverflow="ellipsis" vert="horz" wrap="square" anchor="ctr" anchorCtr="1"/>
          <a:lstStyle/>
          <a:p>
            <a:pPr>
              <a:defRPr lang="zh-CN" sz="8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p>
        </c:txPr>
        <c:crossAx val="283339392"/>
        <c:crosses val="autoZero"/>
        <c:crossBetween val="between"/>
      </c:valAx>
      <c:spPr>
        <a:noFill/>
        <a:ln>
          <a:noFill/>
        </a:ln>
        <a:effectLst/>
      </c:spPr>
    </c:plotArea>
    <c:legend>
      <c:legendPos val="t"/>
      <c:layout/>
      <c:overlay val="0"/>
      <c:spPr>
        <a:noFill/>
        <a:ln>
          <a:noFill/>
        </a:ln>
        <a:effectLst/>
      </c:spPr>
      <c:txPr>
        <a:bodyPr rot="0" spcFirstLastPara="1" vertOverflow="ellipsis" vert="horz" wrap="square" anchor="ctr" anchorCtr="1"/>
        <a:lstStyle/>
        <a:p>
          <a:pPr>
            <a:defRPr lang="zh-CN" sz="8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noFill/>
    <a:ln w="9525" cap="flat" cmpd="sng" algn="ctr">
      <a:noFill/>
      <a:prstDash val="solid"/>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Sheet1!$A$34</c:f>
              <c:strCache>
                <c:ptCount val="1"/>
                <c:pt idx="0">
                  <c:v>陕西人均民用汽车拥有量(辆)</c:v>
                </c:pt>
              </c:strCache>
            </c:strRef>
          </c:tx>
          <c:spPr>
            <a:solidFill>
              <a:srgbClr val="00706B"/>
            </a:solidFill>
            <a:ln>
              <a:noFill/>
            </a:ln>
            <a:effectLst/>
          </c:spPr>
          <c:invertIfNegative val="0"/>
          <c:dLbls>
            <c:dLbl>
              <c:idx val="0"/>
              <c:layout>
                <c:manualLayout>
                  <c:x val="0.00251531021796254"/>
                  <c:y val="0.021511404855649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25155082738852"/>
                  <c:y val="0.021511404855649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251531021796254"/>
                  <c:y val="0.016133553641736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251531021796254"/>
                  <c:y val="0.021511404855649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
                  <c:y val="0.016133553641736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0251511216203985"/>
                  <c:y val="0.026889256069561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
                  <c:y val="0.026889256069561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0"/>
                  <c:y val="0.021511404855649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0"/>
                  <c:y val="0.021511404855649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0.0125765510898126"/>
                  <c:y val="0.026889256069561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0"/>
              <c:layout>
                <c:manualLayout>
                  <c:x val="0"/>
                  <c:y val="0.016133553641736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700" b="0" i="0" u="none" strike="noStrike" kern="1200" baseline="0">
                    <a:solidFill>
                      <a:schemeClr val="tx1"/>
                    </a:solidFill>
                    <a:latin typeface="Times New Roman" panose="02020603050405020304" charset="0"/>
                    <a:ea typeface="+mn-ea"/>
                    <a:cs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numRef>
              <c:f>Sheet1!$B$33:$L$33</c:f>
              <c:numCache>
                <c:formatCode>General</c:formatCode>
                <c:ptCount val="11"/>
                <c:pt idx="0">
                  <c:v>2019</c:v>
                </c:pt>
                <c:pt idx="1">
                  <c:v>2018</c:v>
                </c:pt>
                <c:pt idx="2">
                  <c:v>2017</c:v>
                </c:pt>
                <c:pt idx="3">
                  <c:v>2016</c:v>
                </c:pt>
                <c:pt idx="4">
                  <c:v>2015</c:v>
                </c:pt>
                <c:pt idx="5">
                  <c:v>2014</c:v>
                </c:pt>
                <c:pt idx="6">
                  <c:v>2013</c:v>
                </c:pt>
                <c:pt idx="7">
                  <c:v>2012</c:v>
                </c:pt>
                <c:pt idx="8">
                  <c:v>2011</c:v>
                </c:pt>
                <c:pt idx="9">
                  <c:v>2010</c:v>
                </c:pt>
                <c:pt idx="10">
                  <c:v>2009</c:v>
                </c:pt>
              </c:numCache>
            </c:numRef>
          </c:cat>
          <c:val>
            <c:numRef>
              <c:f>Sheet1!$B$34:$L$34</c:f>
              <c:numCache>
                <c:formatCode>General</c:formatCode>
                <c:ptCount val="11"/>
                <c:pt idx="0">
                  <c:v>0.1759</c:v>
                </c:pt>
                <c:pt idx="1">
                  <c:v>0.1596</c:v>
                </c:pt>
                <c:pt idx="2">
                  <c:v>0.1433</c:v>
                </c:pt>
                <c:pt idx="3">
                  <c:v>0.1288</c:v>
                </c:pt>
                <c:pt idx="4">
                  <c:v>0.1155</c:v>
                </c:pt>
                <c:pt idx="5">
                  <c:v>0.1019</c:v>
                </c:pt>
                <c:pt idx="6">
                  <c:v>0.0893</c:v>
                </c:pt>
                <c:pt idx="7">
                  <c:v>0.0758</c:v>
                </c:pt>
                <c:pt idx="8">
                  <c:v>0.0632</c:v>
                </c:pt>
                <c:pt idx="9">
                  <c:v>0.051</c:v>
                </c:pt>
                <c:pt idx="10">
                  <c:v>0.0392</c:v>
                </c:pt>
              </c:numCache>
            </c:numRef>
          </c:val>
        </c:ser>
        <c:ser>
          <c:idx val="1"/>
          <c:order val="1"/>
          <c:tx>
            <c:strRef>
              <c:f>Sheet1!$A$35</c:f>
              <c:strCache>
                <c:ptCount val="1"/>
                <c:pt idx="0">
                  <c:v>全国人均民用汽车拥有量(辆)</c:v>
                </c:pt>
              </c:strCache>
            </c:strRef>
          </c:tx>
          <c:spPr>
            <a:solidFill>
              <a:srgbClr val="FFC000"/>
            </a:solidFill>
            <a:ln>
              <a:noFill/>
            </a:ln>
            <a:effectLst/>
          </c:spPr>
          <c:invertIfNegative val="0"/>
          <c:dLbls>
            <c:dLbl>
              <c:idx val="0"/>
              <c:layout>
                <c:manualLayout>
                  <c:x val="0.0177083333333333"/>
                  <c:y val="-2.30957119500486e-1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135416666666666"/>
                  <c:y val="-0.0025195613185836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104166666666667"/>
                  <c:y val="-0.0025195613185836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072916666666667"/>
                  <c:y val="0.005039122637167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0104166666666667"/>
                  <c:y val="0.0025195613185835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0.0125"/>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700" b="0" i="0" u="none" strike="noStrike" kern="1200" baseline="0">
                    <a:solidFill>
                      <a:schemeClr val="tx1"/>
                    </a:solidFill>
                    <a:latin typeface="Times New Roman" panose="02020603050405020304" charset="0"/>
                    <a:ea typeface="+mn-ea"/>
                    <a:cs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numRef>
              <c:f>Sheet1!$B$33:$L$33</c:f>
              <c:numCache>
                <c:formatCode>General</c:formatCode>
                <c:ptCount val="11"/>
                <c:pt idx="0">
                  <c:v>2019</c:v>
                </c:pt>
                <c:pt idx="1">
                  <c:v>2018</c:v>
                </c:pt>
                <c:pt idx="2">
                  <c:v>2017</c:v>
                </c:pt>
                <c:pt idx="3">
                  <c:v>2016</c:v>
                </c:pt>
                <c:pt idx="4">
                  <c:v>2015</c:v>
                </c:pt>
                <c:pt idx="5">
                  <c:v>2014</c:v>
                </c:pt>
                <c:pt idx="6">
                  <c:v>2013</c:v>
                </c:pt>
                <c:pt idx="7">
                  <c:v>2012</c:v>
                </c:pt>
                <c:pt idx="8">
                  <c:v>2011</c:v>
                </c:pt>
                <c:pt idx="9">
                  <c:v>2010</c:v>
                </c:pt>
                <c:pt idx="10">
                  <c:v>2009</c:v>
                </c:pt>
              </c:numCache>
            </c:numRef>
          </c:cat>
          <c:val>
            <c:numRef>
              <c:f>Sheet1!$B$35:$L$35</c:f>
              <c:numCache>
                <c:formatCode>General</c:formatCode>
                <c:ptCount val="11"/>
                <c:pt idx="0">
                  <c:v>0.1813</c:v>
                </c:pt>
                <c:pt idx="1">
                  <c:v>0.1665</c:v>
                </c:pt>
                <c:pt idx="2">
                  <c:v>0.1504</c:v>
                </c:pt>
                <c:pt idx="3">
                  <c:v>0.1343</c:v>
                </c:pt>
                <c:pt idx="4">
                  <c:v>0.1185</c:v>
                </c:pt>
                <c:pt idx="5">
                  <c:v>0.1067</c:v>
                </c:pt>
                <c:pt idx="6">
                  <c:v>0.0931000000000002</c:v>
                </c:pt>
                <c:pt idx="7">
                  <c:v>0.0807000000000002</c:v>
                </c:pt>
                <c:pt idx="8">
                  <c:v>0.0694000000000001</c:v>
                </c:pt>
                <c:pt idx="9">
                  <c:v>0.0582</c:v>
                </c:pt>
                <c:pt idx="10">
                  <c:v>0.0471</c:v>
                </c:pt>
              </c:numCache>
            </c:numRef>
          </c:val>
        </c:ser>
        <c:dLbls>
          <c:showLegendKey val="0"/>
          <c:showVal val="1"/>
          <c:showCatName val="0"/>
          <c:showSerName val="0"/>
          <c:showPercent val="0"/>
          <c:showBubbleSize val="0"/>
        </c:dLbls>
        <c:gapWidth val="219"/>
        <c:overlap val="-27"/>
        <c:axId val="284877952"/>
        <c:axId val="284879488"/>
      </c:barChart>
      <c:catAx>
        <c:axId val="284877952"/>
        <c:scaling>
          <c:orientation val="maxMin"/>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800" b="0" i="0" u="none" strike="noStrike" kern="1200" baseline="0">
                <a:solidFill>
                  <a:schemeClr val="tx1"/>
                </a:solidFill>
                <a:latin typeface="Times New Roman" panose="02020603050405020304" charset="0"/>
                <a:ea typeface="+mn-ea"/>
                <a:cs typeface="Times New Roman" panose="02020603050405020304" charset="0"/>
              </a:defRPr>
            </a:pPr>
          </a:p>
        </c:txPr>
        <c:crossAx val="284879488"/>
        <c:crosses val="autoZero"/>
        <c:auto val="1"/>
        <c:lblAlgn val="ctr"/>
        <c:lblOffset val="100"/>
        <c:noMultiLvlLbl val="0"/>
      </c:catAx>
      <c:valAx>
        <c:axId val="284879488"/>
        <c:scaling>
          <c:orientation val="minMax"/>
        </c:scaling>
        <c:delete val="0"/>
        <c:axPos val="r"/>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800" b="0" i="0" u="none" strike="noStrike" kern="1200" baseline="0">
                <a:solidFill>
                  <a:schemeClr val="tx1"/>
                </a:solidFill>
                <a:latin typeface="Times New Roman" panose="02020603050405020304" charset="0"/>
                <a:ea typeface="+mn-ea"/>
                <a:cs typeface="Times New Roman" panose="02020603050405020304" charset="0"/>
              </a:defRPr>
            </a:pPr>
          </a:p>
        </c:txPr>
        <c:crossAx val="28487795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800" b="0" i="0" u="none" strike="noStrike" kern="1200" baseline="0">
              <a:solidFill>
                <a:schemeClr val="tx1"/>
              </a:solidFill>
              <a:latin typeface="Times New Roman" panose="02020603050405020304" charset="0"/>
              <a:ea typeface="+mn-ea"/>
              <a:cs typeface="Times New Roman" panose="02020603050405020304" charset="0"/>
            </a:defRPr>
          </a:pPr>
        </a:p>
      </c:txPr>
    </c:legend>
    <c:plotVisOnly val="1"/>
    <c:dispBlanksAs val="gap"/>
    <c:showDLblsOverMax val="0"/>
  </c:chart>
  <c:spPr>
    <a:noFill/>
    <a:ln w="6350" cap="flat" cmpd="sng" algn="ctr">
      <a:noFill/>
      <a:prstDash val="solid"/>
      <a:round/>
    </a:ln>
    <a:effectLst/>
  </c:spPr>
  <c:txPr>
    <a:bodyPr/>
    <a:lstStyle/>
    <a:p>
      <a:pPr>
        <a:defRPr lang="zh-CN" sz="800">
          <a:latin typeface="Times New Roman" panose="02020603050405020304" charset="0"/>
          <a:cs typeface="Times New Roman" panose="02020603050405020304" charset="0"/>
        </a:defRPr>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114583333333333"/>
          <c:y val="0.161538741180728"/>
          <c:w val="0.939155347769029"/>
          <c:h val="0.715785823386776"/>
        </c:manualLayout>
      </c:layout>
      <c:lineChart>
        <c:grouping val="standard"/>
        <c:varyColors val="0"/>
        <c:ser>
          <c:idx val="0"/>
          <c:order val="0"/>
          <c:tx>
            <c:strRef>
              <c:f>Sheet1!$A$39</c:f>
              <c:strCache>
                <c:ptCount val="1"/>
                <c:pt idx="0">
                  <c:v>陕西人均民用汽车拥有量/全国人均民用汽车拥有量</c:v>
                </c:pt>
              </c:strCache>
            </c:strRef>
          </c:tx>
          <c:spPr>
            <a:ln w="22225" cap="rnd" cmpd="sng" algn="ctr">
              <a:solidFill>
                <a:srgbClr val="00706B"/>
              </a:solidFill>
              <a:prstDash val="solid"/>
              <a:round/>
            </a:ln>
            <a:effectLst/>
          </c:spPr>
          <c:marker>
            <c:symbol val="diamond"/>
            <c:size val="6"/>
            <c:spPr>
              <a:solidFill>
                <a:srgbClr val="00706B"/>
              </a:solidFill>
              <a:ln w="9525" cap="flat" cmpd="sng" algn="ctr">
                <a:solidFill>
                  <a:srgbClr val="00706B"/>
                </a:solidFill>
                <a:prstDash val="solid"/>
                <a:round/>
              </a:ln>
              <a:effectLst/>
            </c:spPr>
          </c:marker>
          <c:dLbls>
            <c:spPr>
              <a:noFill/>
              <a:ln>
                <a:noFill/>
              </a:ln>
              <a:effectLst/>
            </c:spPr>
            <c:txPr>
              <a:bodyPr rot="0" spcFirstLastPara="0" vertOverflow="ellipsis" vert="horz" wrap="square" lIns="38100" tIns="19050" rIns="38100" bIns="19050" anchor="ctr" anchorCtr="1"/>
              <a:lstStyle/>
              <a:p>
                <a:pPr>
                  <a:defRPr lang="zh-CN" sz="800" b="0" i="0" u="none" strike="noStrike" kern="1200" baseline="0">
                    <a:solidFill>
                      <a:schemeClr val="tx1"/>
                    </a:solidFill>
                    <a:latin typeface="Times New Roman" panose="02020603050405020304" charset="0"/>
                    <a:ea typeface="+mn-ea"/>
                    <a:cs typeface="Times New Roman" panose="02020603050405020304" charset="0"/>
                  </a:defRPr>
                </a:pPr>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numRef>
              <c:f>Sheet1!$B$38:$L$38</c:f>
              <c:numCache>
                <c:formatCode>General</c:formatCode>
                <c:ptCount val="11"/>
                <c:pt idx="0">
                  <c:v>2019</c:v>
                </c:pt>
                <c:pt idx="1">
                  <c:v>2018</c:v>
                </c:pt>
                <c:pt idx="2">
                  <c:v>2017</c:v>
                </c:pt>
                <c:pt idx="3">
                  <c:v>2016</c:v>
                </c:pt>
                <c:pt idx="4">
                  <c:v>2015</c:v>
                </c:pt>
                <c:pt idx="5">
                  <c:v>2014</c:v>
                </c:pt>
                <c:pt idx="6">
                  <c:v>2013</c:v>
                </c:pt>
                <c:pt idx="7">
                  <c:v>2012</c:v>
                </c:pt>
                <c:pt idx="8">
                  <c:v>2011</c:v>
                </c:pt>
                <c:pt idx="9">
                  <c:v>2010</c:v>
                </c:pt>
                <c:pt idx="10">
                  <c:v>2009</c:v>
                </c:pt>
              </c:numCache>
            </c:numRef>
          </c:cat>
          <c:val>
            <c:numRef>
              <c:f>Sheet1!$B$39:$L$39</c:f>
              <c:numCache>
                <c:formatCode>General</c:formatCode>
                <c:ptCount val="11"/>
                <c:pt idx="0">
                  <c:v>0.970000000000003</c:v>
                </c:pt>
                <c:pt idx="1">
                  <c:v>0.958800000000003</c:v>
                </c:pt>
                <c:pt idx="2">
                  <c:v>0.952700000000003</c:v>
                </c:pt>
                <c:pt idx="3">
                  <c:v>0.959000000000003</c:v>
                </c:pt>
                <c:pt idx="4">
                  <c:v>0.975000000000003</c:v>
                </c:pt>
                <c:pt idx="5">
                  <c:v>0.9553</c:v>
                </c:pt>
                <c:pt idx="6">
                  <c:v>0.958900000000003</c:v>
                </c:pt>
                <c:pt idx="7">
                  <c:v>0.9393</c:v>
                </c:pt>
                <c:pt idx="8">
                  <c:v>0.909600000000002</c:v>
                </c:pt>
                <c:pt idx="9">
                  <c:v>0.877200000000003</c:v>
                </c:pt>
                <c:pt idx="10">
                  <c:v>0.833900000000003</c:v>
                </c:pt>
              </c:numCache>
            </c:numRef>
          </c:val>
          <c:smooth val="0"/>
        </c:ser>
        <c:dLbls>
          <c:showLegendKey val="0"/>
          <c:showVal val="1"/>
          <c:showCatName val="0"/>
          <c:showSerName val="0"/>
          <c:showPercent val="0"/>
          <c:showBubbleSize val="0"/>
        </c:dLbls>
        <c:marker val="1"/>
        <c:smooth val="0"/>
        <c:axId val="309592448"/>
        <c:axId val="309727616"/>
      </c:lineChart>
      <c:catAx>
        <c:axId val="309592448"/>
        <c:scaling>
          <c:orientation val="maxMin"/>
        </c:scaling>
        <c:delete val="0"/>
        <c:axPos val="b"/>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800" b="0" i="0" u="none" strike="noStrike" kern="1200" baseline="0">
                <a:solidFill>
                  <a:schemeClr val="tx1"/>
                </a:solidFill>
                <a:latin typeface="Times New Roman" panose="02020603050405020304" charset="0"/>
                <a:ea typeface="+mn-ea"/>
                <a:cs typeface="Times New Roman" panose="02020603050405020304" charset="0"/>
              </a:defRPr>
            </a:pPr>
          </a:p>
        </c:txPr>
        <c:crossAx val="309727616"/>
        <c:crosses val="autoZero"/>
        <c:auto val="1"/>
        <c:lblAlgn val="ctr"/>
        <c:lblOffset val="100"/>
        <c:noMultiLvlLbl val="0"/>
      </c:catAx>
      <c:valAx>
        <c:axId val="309727616"/>
        <c:scaling>
          <c:orientation val="minMax"/>
        </c:scaling>
        <c:delete val="0"/>
        <c:axPos val="r"/>
        <c:numFmt formatCode="General" sourceLinked="1"/>
        <c:majorTickMark val="none"/>
        <c:minorTickMark val="none"/>
        <c:tickLblPos val="nextTo"/>
        <c:spPr>
          <a:noFill/>
          <a:ln w="9525" cap="flat" cmpd="sng" algn="ctr">
            <a:solidFill>
              <a:schemeClr val="dk1">
                <a:lumMod val="15000"/>
                <a:lumOff val="85000"/>
              </a:schemeClr>
            </a:solidFill>
            <a:prstDash val="solid"/>
            <a:round/>
          </a:ln>
          <a:effectLst/>
        </c:spPr>
        <c:txPr>
          <a:bodyPr rot="-60000000" spcFirstLastPara="0" vertOverflow="ellipsis" vert="horz" wrap="square" anchor="ctr" anchorCtr="1"/>
          <a:lstStyle/>
          <a:p>
            <a:pPr>
              <a:defRPr lang="zh-CN" sz="800" b="0" i="0" u="none" strike="noStrike" kern="1200" baseline="0">
                <a:solidFill>
                  <a:schemeClr val="tx1"/>
                </a:solidFill>
                <a:latin typeface="Times New Roman" panose="02020603050405020304" charset="0"/>
                <a:ea typeface="+mn-ea"/>
                <a:cs typeface="Times New Roman" panose="02020603050405020304" charset="0"/>
              </a:defRPr>
            </a:pPr>
          </a:p>
        </c:txPr>
        <c:crossAx val="309592448"/>
        <c:crosses val="autoZero"/>
        <c:crossBetween val="between"/>
      </c:valAx>
      <c:spPr>
        <a:noFill/>
        <a:ln>
          <a:noFill/>
        </a:ln>
        <a:effectLst/>
      </c:spPr>
    </c:plotArea>
    <c:plotVisOnly val="1"/>
    <c:dispBlanksAs val="gap"/>
    <c:showDLblsOverMax val="0"/>
  </c:chart>
  <c:spPr>
    <a:noFill/>
    <a:ln w="9525" cap="flat" cmpd="sng" algn="ctr">
      <a:noFill/>
      <a:prstDash val="solid"/>
      <a:round/>
    </a:ln>
    <a:effectLst/>
  </c:spPr>
  <c:txPr>
    <a:bodyPr/>
    <a:lstStyle/>
    <a:p>
      <a:pPr>
        <a:defRPr lang="zh-CN" sz="800">
          <a:latin typeface="Times New Roman" panose="02020603050405020304" charset="0"/>
          <a:cs typeface="Times New Roman" panose="02020603050405020304" charset="0"/>
        </a:defRPr>
      </a:pP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Sheet1!$D$551</c:f>
              <c:strCache>
                <c:ptCount val="1"/>
                <c:pt idx="0">
                  <c:v>全国汽车销量（万辆）</c:v>
                </c:pt>
              </c:strCache>
            </c:strRef>
          </c:tx>
          <c:spPr>
            <a:ln w="22225" cap="rnd" cmpd="sng" algn="ctr">
              <a:solidFill>
                <a:srgbClr val="00706B"/>
              </a:solidFill>
              <a:prstDash val="solid"/>
              <a:round/>
            </a:ln>
            <a:effectLst/>
          </c:spPr>
          <c:marker>
            <c:symbol val="diamond"/>
            <c:size val="6"/>
            <c:spPr>
              <a:solidFill>
                <a:srgbClr val="00706B"/>
              </a:solidFill>
              <a:ln w="9525" cap="flat" cmpd="sng" algn="ctr">
                <a:solidFill>
                  <a:srgbClr val="00706B"/>
                </a:solidFill>
                <a:prstDash val="solid"/>
                <a:round/>
              </a:ln>
              <a:effectLst/>
            </c:spPr>
          </c:marker>
          <c:dLbls>
            <c:spPr>
              <a:noFill/>
              <a:ln>
                <a:noFill/>
              </a:ln>
              <a:effectLst/>
            </c:spPr>
            <c:txPr>
              <a:bodyPr rot="0" spcFirstLastPara="0" vertOverflow="ellipsis" vert="horz" wrap="square" lIns="38100" tIns="19050" rIns="38100" bIns="19050" anchor="ctr" anchorCtr="1"/>
              <a:lstStyle/>
              <a:p>
                <a:pPr>
                  <a:defRPr lang="zh-CN" sz="800" b="0" i="0" u="none" strike="noStrike" kern="1200" baseline="0">
                    <a:solidFill>
                      <a:schemeClr val="tx1"/>
                    </a:solidFill>
                    <a:latin typeface="Times New Roman" panose="02020603050405020304" charset="0"/>
                    <a:ea typeface="+mn-ea"/>
                    <a:cs typeface="Times New Roman" panose="02020603050405020304" charset="0"/>
                  </a:defRPr>
                </a:pPr>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numRef>
              <c:f>Sheet1!$E$550:$P$550</c:f>
              <c:numCache>
                <c:formatCode>General</c:formatCode>
                <c:ptCount val="12"/>
                <c:pt idx="0">
                  <c:v>2020</c:v>
                </c:pt>
                <c:pt idx="1">
                  <c:v>2019</c:v>
                </c:pt>
                <c:pt idx="2">
                  <c:v>2018</c:v>
                </c:pt>
                <c:pt idx="3">
                  <c:v>2017</c:v>
                </c:pt>
                <c:pt idx="4">
                  <c:v>2016</c:v>
                </c:pt>
                <c:pt idx="5">
                  <c:v>2015</c:v>
                </c:pt>
                <c:pt idx="6">
                  <c:v>2014</c:v>
                </c:pt>
                <c:pt idx="7">
                  <c:v>2013</c:v>
                </c:pt>
                <c:pt idx="8">
                  <c:v>2012</c:v>
                </c:pt>
                <c:pt idx="9">
                  <c:v>2011</c:v>
                </c:pt>
                <c:pt idx="10">
                  <c:v>2010</c:v>
                </c:pt>
                <c:pt idx="11">
                  <c:v>2009</c:v>
                </c:pt>
              </c:numCache>
            </c:numRef>
          </c:cat>
          <c:val>
            <c:numRef>
              <c:f>Sheet1!$E$551:$P$551</c:f>
              <c:numCache>
                <c:formatCode>General</c:formatCode>
                <c:ptCount val="12"/>
                <c:pt idx="0">
                  <c:v>2531</c:v>
                </c:pt>
                <c:pt idx="1">
                  <c:v>2576.9</c:v>
                </c:pt>
                <c:pt idx="2">
                  <c:v>2808</c:v>
                </c:pt>
                <c:pt idx="3">
                  <c:v>2887</c:v>
                </c:pt>
                <c:pt idx="4">
                  <c:v>2802</c:v>
                </c:pt>
                <c:pt idx="5">
                  <c:v>2459</c:v>
                </c:pt>
                <c:pt idx="6">
                  <c:v>2349</c:v>
                </c:pt>
                <c:pt idx="7">
                  <c:v>2198</c:v>
                </c:pt>
                <c:pt idx="8">
                  <c:v>1930</c:v>
                </c:pt>
                <c:pt idx="9">
                  <c:v>1850</c:v>
                </c:pt>
                <c:pt idx="10">
                  <c:v>1806</c:v>
                </c:pt>
                <c:pt idx="11">
                  <c:v>1364</c:v>
                </c:pt>
              </c:numCache>
            </c:numRef>
          </c:val>
          <c:smooth val="0"/>
        </c:ser>
        <c:dLbls>
          <c:showLegendKey val="0"/>
          <c:showVal val="1"/>
          <c:showCatName val="0"/>
          <c:showSerName val="0"/>
          <c:showPercent val="0"/>
          <c:showBubbleSize val="0"/>
        </c:dLbls>
        <c:marker val="1"/>
        <c:smooth val="0"/>
        <c:axId val="309796224"/>
        <c:axId val="309961856"/>
      </c:lineChart>
      <c:catAx>
        <c:axId val="309796224"/>
        <c:scaling>
          <c:orientation val="maxMin"/>
        </c:scaling>
        <c:delete val="0"/>
        <c:axPos val="b"/>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800" b="0" i="0" u="none" strike="noStrike" kern="1200" baseline="0">
                <a:solidFill>
                  <a:schemeClr val="tx1"/>
                </a:solidFill>
                <a:latin typeface="Times New Roman" panose="02020603050405020304" charset="0"/>
                <a:ea typeface="+mn-ea"/>
                <a:cs typeface="Times New Roman" panose="02020603050405020304" charset="0"/>
              </a:defRPr>
            </a:pPr>
          </a:p>
        </c:txPr>
        <c:crossAx val="309961856"/>
        <c:crosses val="autoZero"/>
        <c:auto val="1"/>
        <c:lblAlgn val="ctr"/>
        <c:lblOffset val="100"/>
        <c:noMultiLvlLbl val="0"/>
      </c:catAx>
      <c:valAx>
        <c:axId val="309961856"/>
        <c:scaling>
          <c:orientation val="minMax"/>
        </c:scaling>
        <c:delete val="0"/>
        <c:axPos val="r"/>
        <c:numFmt formatCode="General" sourceLinked="1"/>
        <c:majorTickMark val="none"/>
        <c:minorTickMark val="none"/>
        <c:tickLblPos val="nextTo"/>
        <c:spPr>
          <a:noFill/>
          <a:ln w="9525" cap="flat" cmpd="sng" algn="ctr">
            <a:solidFill>
              <a:schemeClr val="dk1">
                <a:lumMod val="15000"/>
                <a:lumOff val="85000"/>
              </a:schemeClr>
            </a:solidFill>
            <a:prstDash val="solid"/>
            <a:round/>
          </a:ln>
          <a:effectLst/>
        </c:spPr>
        <c:txPr>
          <a:bodyPr rot="-60000000" spcFirstLastPara="0" vertOverflow="ellipsis" vert="horz" wrap="square" anchor="ctr" anchorCtr="1"/>
          <a:lstStyle/>
          <a:p>
            <a:pPr>
              <a:defRPr lang="zh-CN" sz="800" b="0" i="0" u="none" strike="noStrike" kern="1200" baseline="0">
                <a:solidFill>
                  <a:schemeClr val="tx1"/>
                </a:solidFill>
                <a:latin typeface="Times New Roman" panose="02020603050405020304" charset="0"/>
                <a:ea typeface="+mn-ea"/>
                <a:cs typeface="Times New Roman" panose="02020603050405020304" charset="0"/>
              </a:defRPr>
            </a:pPr>
          </a:p>
        </c:txPr>
        <c:crossAx val="309796224"/>
        <c:crosses val="autoZero"/>
        <c:crossBetween val="between"/>
      </c:valAx>
      <c:spPr>
        <a:noFill/>
        <a:ln>
          <a:noFill/>
        </a:ln>
        <a:effectLst/>
      </c:spPr>
    </c:plotArea>
    <c:plotVisOnly val="1"/>
    <c:dispBlanksAs val="gap"/>
    <c:showDLblsOverMax val="0"/>
  </c:chart>
  <c:spPr>
    <a:noFill/>
    <a:ln w="9525" cap="flat" cmpd="sng" algn="ctr">
      <a:noFill/>
      <a:prstDash val="solid"/>
      <a:round/>
    </a:ln>
    <a:effectLst/>
  </c:spPr>
  <c:txPr>
    <a:bodyPr/>
    <a:lstStyle/>
    <a:p>
      <a:pPr>
        <a:defRPr lang="zh-CN" sz="800">
          <a:latin typeface="Times New Roman" panose="02020603050405020304" charset="0"/>
          <a:cs typeface="Times New Roman" panose="02020603050405020304" charset="0"/>
        </a:defRPr>
      </a:pPr>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Sheet1!$A$544</c:f>
              <c:strCache>
                <c:ptCount val="1"/>
                <c:pt idx="0">
                  <c:v>全国汽车销量增长率（%）</c:v>
                </c:pt>
              </c:strCache>
            </c:strRef>
          </c:tx>
          <c:spPr>
            <a:ln w="28575" cap="rnd" cmpd="sng" algn="ctr">
              <a:solidFill>
                <a:srgbClr val="00706B"/>
              </a:solidFill>
              <a:prstDash val="solid"/>
              <a:round/>
            </a:ln>
            <a:effectLst/>
          </c:spPr>
          <c:marker>
            <c:symbol val="circle"/>
            <c:size val="5"/>
            <c:spPr>
              <a:solidFill>
                <a:srgbClr val="00706B"/>
              </a:solidFill>
              <a:ln w="9525" cap="flat" cmpd="sng" algn="ctr">
                <a:solidFill>
                  <a:srgbClr val="00706B"/>
                </a:solidFill>
                <a:prstDash val="solid"/>
                <a:round/>
              </a:ln>
              <a:effectLst/>
            </c:spPr>
          </c:marker>
          <c:dLbls>
            <c:dLbl>
              <c:idx val="1"/>
              <c:layout>
                <c:manualLayout>
                  <c:x val="-0.0358490813648294"/>
                  <c:y val="0.0563513901334123"/>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800" b="0" i="0" u="none" strike="noStrike" kern="1200" baseline="0">
                    <a:solidFill>
                      <a:schemeClr val="tx1"/>
                    </a:solidFill>
                    <a:latin typeface="Times New Roman" panose="02020603050405020304" charset="0"/>
                    <a:ea typeface="+mn-ea"/>
                    <a:cs typeface="Times New Roman" panose="02020603050405020304" charset="0"/>
                  </a:defRPr>
                </a:pPr>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numRef>
              <c:f>Sheet1!$B$543:$M$543</c:f>
              <c:numCache>
                <c:formatCode>General</c:formatCode>
                <c:ptCount val="12"/>
                <c:pt idx="0">
                  <c:v>2020</c:v>
                </c:pt>
                <c:pt idx="1">
                  <c:v>2019</c:v>
                </c:pt>
                <c:pt idx="2">
                  <c:v>2018</c:v>
                </c:pt>
                <c:pt idx="3">
                  <c:v>2017</c:v>
                </c:pt>
                <c:pt idx="4">
                  <c:v>2016</c:v>
                </c:pt>
                <c:pt idx="5">
                  <c:v>2015</c:v>
                </c:pt>
                <c:pt idx="6">
                  <c:v>2014</c:v>
                </c:pt>
                <c:pt idx="7">
                  <c:v>2013</c:v>
                </c:pt>
                <c:pt idx="8">
                  <c:v>2012</c:v>
                </c:pt>
                <c:pt idx="9">
                  <c:v>2011</c:v>
                </c:pt>
                <c:pt idx="10">
                  <c:v>2010</c:v>
                </c:pt>
                <c:pt idx="11">
                  <c:v>2009</c:v>
                </c:pt>
              </c:numCache>
            </c:numRef>
          </c:cat>
          <c:val>
            <c:numRef>
              <c:f>Sheet1!$B$544:$M$544</c:f>
              <c:numCache>
                <c:formatCode>General</c:formatCode>
                <c:ptCount val="12"/>
                <c:pt idx="0">
                  <c:v>-1.9</c:v>
                </c:pt>
                <c:pt idx="1">
                  <c:v>-8.2</c:v>
                </c:pt>
                <c:pt idx="2">
                  <c:v>-2.7</c:v>
                </c:pt>
                <c:pt idx="3">
                  <c:v>3</c:v>
                </c:pt>
                <c:pt idx="4">
                  <c:v>13.9</c:v>
                </c:pt>
                <c:pt idx="5">
                  <c:v>4.7</c:v>
                </c:pt>
                <c:pt idx="6">
                  <c:v>6.8</c:v>
                </c:pt>
                <c:pt idx="7">
                  <c:v>13.8</c:v>
                </c:pt>
                <c:pt idx="8">
                  <c:v>4.3</c:v>
                </c:pt>
                <c:pt idx="9">
                  <c:v>2.4</c:v>
                </c:pt>
                <c:pt idx="10">
                  <c:v>32.3</c:v>
                </c:pt>
                <c:pt idx="11">
                  <c:v>45.4</c:v>
                </c:pt>
              </c:numCache>
            </c:numRef>
          </c:val>
          <c:smooth val="0"/>
        </c:ser>
        <c:dLbls>
          <c:showLegendKey val="0"/>
          <c:showVal val="1"/>
          <c:showCatName val="0"/>
          <c:showSerName val="0"/>
          <c:showPercent val="0"/>
          <c:showBubbleSize val="0"/>
        </c:dLbls>
        <c:marker val="1"/>
        <c:smooth val="0"/>
        <c:axId val="310264576"/>
        <c:axId val="310382976"/>
      </c:lineChart>
      <c:catAx>
        <c:axId val="310264576"/>
        <c:scaling>
          <c:orientation val="maxMin"/>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800" b="0" i="0" u="none" strike="noStrike" kern="1200" baseline="0">
                <a:solidFill>
                  <a:schemeClr val="tx1"/>
                </a:solidFill>
                <a:latin typeface="Times New Roman" panose="02020603050405020304" charset="0"/>
                <a:ea typeface="+mn-ea"/>
                <a:cs typeface="Times New Roman" panose="02020603050405020304" charset="0"/>
              </a:defRPr>
            </a:pPr>
          </a:p>
        </c:txPr>
        <c:crossAx val="310382976"/>
        <c:crosses val="autoZero"/>
        <c:auto val="1"/>
        <c:lblAlgn val="ctr"/>
        <c:lblOffset val="100"/>
        <c:noMultiLvlLbl val="0"/>
      </c:catAx>
      <c:valAx>
        <c:axId val="310382976"/>
        <c:scaling>
          <c:orientation val="minMax"/>
        </c:scaling>
        <c:delete val="0"/>
        <c:axPos val="r"/>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800" b="0" i="0" u="none" strike="noStrike" kern="1200" baseline="0">
                <a:solidFill>
                  <a:schemeClr val="tx1"/>
                </a:solidFill>
                <a:latin typeface="Times New Roman" panose="02020603050405020304" charset="0"/>
                <a:ea typeface="+mn-ea"/>
                <a:cs typeface="Times New Roman" panose="02020603050405020304" charset="0"/>
              </a:defRPr>
            </a:pPr>
          </a:p>
        </c:txPr>
        <c:crossAx val="310264576"/>
        <c:crosses val="autoZero"/>
        <c:crossBetween val="between"/>
      </c:valAx>
      <c:spPr>
        <a:noFill/>
        <a:ln>
          <a:noFill/>
        </a:ln>
        <a:effectLst/>
      </c:spPr>
    </c:plotArea>
    <c:plotVisOnly val="1"/>
    <c:dispBlanksAs val="gap"/>
    <c:showDLblsOverMax val="0"/>
  </c:chart>
  <c:spPr>
    <a:noFill/>
    <a:ln w="6350" cap="flat" cmpd="sng" algn="ctr">
      <a:noFill/>
      <a:prstDash val="solid"/>
      <a:round/>
    </a:ln>
    <a:effectLst/>
  </c:spPr>
  <c:txPr>
    <a:bodyPr/>
    <a:lstStyle/>
    <a:p>
      <a:pPr>
        <a:defRPr lang="zh-CN" sz="800">
          <a:latin typeface="Times New Roman" panose="02020603050405020304" charset="0"/>
          <a:cs typeface="Times New Roman" panose="02020603050405020304" charset="0"/>
        </a:defRPr>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7"/>
    <customShpInfo spid="_x0000_s5122"/>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4EE701E-71F9-42AB-B0AE-AD5EB928CD0D}">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62</Pages>
  <Words>4990</Words>
  <Characters>28445</Characters>
  <Lines>237</Lines>
  <Paragraphs>66</Paragraphs>
  <TotalTime>1</TotalTime>
  <ScaleCrop>false</ScaleCrop>
  <LinksUpToDate>false</LinksUpToDate>
  <CharactersWithSpaces>33369</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2021-04-09T09:08:00Z</dcterms:created>
  <dc:creator>杨治田</dc:creator>
  <cp:lastModifiedBy>许文宇</cp:lastModifiedBy>
  <cp:lastPrinted>2021-04-06T09:46:00Z</cp:lastPrinted>
  <dcterms:modified xsi:type="dcterms:W3CDTF">2021-05-14T01:13:37Z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5BDAEB6671B143F3BA9FCD66893E929A</vt:lpwstr>
  </property>
</Properties>
</file>