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0" w:firstLineChars="0"/>
        <w:jc w:val="both"/>
        <w:textAlignment w:val="auto"/>
        <w:outlineLvl w:val="9"/>
        <w:rPr>
          <w:rFonts w:hint="eastAsia" w:ascii="宋体" w:hAnsi="宋体" w:eastAsia="方正小标宋简体" w:cs="方正小标宋简体"/>
          <w:b w:val="0"/>
          <w:bCs w:val="0"/>
          <w:color w:val="000000"/>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eastAsia="方正小标宋简体"/>
          <w:b w:val="0"/>
          <w:bCs/>
          <w:sz w:val="44"/>
          <w:szCs w:val="44"/>
        </w:rPr>
      </w:pPr>
      <w:r>
        <w:rPr>
          <w:rFonts w:hint="eastAsia" w:ascii="方正小标宋简体" w:eastAsia="方正小标宋简体"/>
          <w:b w:val="0"/>
          <w:bCs/>
          <w:sz w:val="44"/>
          <w:szCs w:val="44"/>
        </w:rPr>
        <w:t>《</w:t>
      </w:r>
      <w:bookmarkStart w:id="0" w:name="_GoBack"/>
      <w:r>
        <w:rPr>
          <w:rFonts w:hint="eastAsia" w:ascii="方正小标宋简体" w:eastAsia="方正小标宋简体"/>
          <w:b w:val="0"/>
          <w:bCs/>
          <w:sz w:val="44"/>
          <w:szCs w:val="44"/>
        </w:rPr>
        <w:t>北京市鼓励单位内部公用充电设施建设暂行办法</w:t>
      </w:r>
      <w:bookmarkEnd w:id="0"/>
      <w:r>
        <w:rPr>
          <w:rFonts w:hint="eastAsia" w:ascii="方正小标宋简体" w:eastAsia="方正小标宋简体"/>
          <w:b w:val="0"/>
          <w:bCs/>
          <w:sz w:val="44"/>
          <w:szCs w:val="44"/>
        </w:rPr>
        <w:t>》解读</w:t>
      </w:r>
    </w:p>
    <w:p>
      <w:pPr>
        <w:pStyle w:val="3"/>
        <w:rPr>
          <w:rFonts w:hint="eastAsia"/>
          <w:lang w:val="en-US" w:eastAsia="zh-CN"/>
        </w:rPr>
      </w:pPr>
    </w:p>
    <w:p>
      <w:pPr>
        <w:pStyle w:val="2"/>
        <w:keepNext w:val="0"/>
        <w:keepLines w:val="0"/>
        <w:pageBreakBefore w:val="0"/>
        <w:numPr>
          <w:ilvl w:val="0"/>
          <w:numId w:val="1"/>
        </w:numPr>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eastAsia="黑体" w:cs="黑体"/>
          <w:b w:val="0"/>
          <w:bCs w:val="0"/>
          <w:color w:val="000000"/>
          <w:sz w:val="32"/>
          <w:szCs w:val="32"/>
          <w:u w:val="none"/>
          <w:lang w:val="en-US" w:eastAsia="zh-CN"/>
        </w:rPr>
      </w:pPr>
      <w:r>
        <w:rPr>
          <w:rFonts w:hint="eastAsia" w:eastAsia="黑体" w:cs="黑体"/>
          <w:b w:val="0"/>
          <w:bCs w:val="0"/>
          <w:color w:val="000000"/>
          <w:sz w:val="32"/>
          <w:szCs w:val="32"/>
          <w:u w:val="none"/>
          <w:lang w:val="en-US" w:eastAsia="zh-CN"/>
        </w:rPr>
        <w:t>制定依据</w:t>
      </w:r>
    </w:p>
    <w:p>
      <w:pPr>
        <w:pStyle w:val="2"/>
        <w:keepNext w:val="0"/>
        <w:keepLines w:val="0"/>
        <w:pageBreakBefore w:val="0"/>
        <w:numPr>
          <w:ilvl w:val="0"/>
          <w:numId w:val="0"/>
        </w:numPr>
        <w:kinsoku/>
        <w:overflowPunct/>
        <w:topLinePunct w:val="0"/>
        <w:autoSpaceDE/>
        <w:autoSpaceDN/>
        <w:bidi w:val="0"/>
        <w:adjustRightInd/>
        <w:snapToGrid/>
        <w:spacing w:after="0" w:afterLines="0" w:line="560" w:lineRule="exact"/>
        <w:ind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根据国务院办公厅《新能源汽车产业发展规划（2021-2035）》</w:t>
      </w:r>
      <w:r>
        <w:rPr>
          <w:rFonts w:hint="eastAsia"/>
          <w:b w:val="0"/>
          <w:bCs w:val="0"/>
          <w:color w:val="000000"/>
          <w:sz w:val="32"/>
          <w:szCs w:val="32"/>
          <w:u w:val="none"/>
          <w:lang w:val="en-US" w:eastAsia="zh-CN"/>
        </w:rPr>
        <w:t>、财政部等五部门《关于“十三五”新能源汽车充电基础设施奖励政策及加强新能源汽车推广应用的通知》（财建〔2016〕7号）、国家能源局等三部门</w:t>
      </w:r>
      <w:r>
        <w:rPr>
          <w:rFonts w:hint="eastAsia" w:ascii="宋体" w:hAnsi="宋体" w:eastAsia="仿宋_GB2312"/>
          <w:b w:val="0"/>
          <w:bCs w:val="0"/>
          <w:color w:val="000000"/>
          <w:sz w:val="32"/>
          <w:szCs w:val="32"/>
          <w:u w:val="none"/>
          <w:lang w:val="en-US" w:eastAsia="zh-CN"/>
        </w:rPr>
        <w:t>《关于加快单位内部电动汽车充电基础设施建设的通知》</w:t>
      </w:r>
      <w:r>
        <w:rPr>
          <w:rFonts w:hint="eastAsia"/>
          <w:b w:val="0"/>
          <w:bCs w:val="0"/>
          <w:color w:val="000000"/>
          <w:sz w:val="32"/>
          <w:szCs w:val="32"/>
          <w:u w:val="none"/>
          <w:lang w:val="en-US" w:eastAsia="zh-CN"/>
        </w:rPr>
        <w:t>（国能电力〔2017〕19号）</w:t>
      </w:r>
      <w:r>
        <w:rPr>
          <w:rFonts w:hint="eastAsia" w:ascii="宋体" w:hAnsi="宋体" w:eastAsia="仿宋_GB2312"/>
          <w:b w:val="0"/>
          <w:bCs w:val="0"/>
          <w:color w:val="000000"/>
          <w:sz w:val="32"/>
          <w:szCs w:val="32"/>
          <w:u w:val="none"/>
          <w:lang w:val="en-US" w:eastAsia="zh-CN"/>
        </w:rPr>
        <w:t>及新型基础设施建设等</w:t>
      </w:r>
      <w:r>
        <w:rPr>
          <w:rFonts w:hint="eastAsia"/>
          <w:b w:val="0"/>
          <w:bCs w:val="0"/>
          <w:color w:val="000000"/>
          <w:sz w:val="32"/>
          <w:szCs w:val="32"/>
          <w:u w:val="none"/>
          <w:lang w:val="en-US" w:eastAsia="zh-CN"/>
        </w:rPr>
        <w:t>相关</w:t>
      </w:r>
      <w:r>
        <w:rPr>
          <w:rFonts w:hint="eastAsia" w:ascii="宋体" w:hAnsi="宋体" w:eastAsia="仿宋_GB2312"/>
          <w:b w:val="0"/>
          <w:bCs w:val="0"/>
          <w:color w:val="000000"/>
          <w:sz w:val="32"/>
          <w:szCs w:val="32"/>
          <w:u w:val="none"/>
          <w:lang w:val="en-US" w:eastAsia="zh-CN"/>
        </w:rPr>
        <w:t>要求，进一步完善“居住地、办公地充电为主，社会公用快速补电为辅”的充电设施网络，促进单位和职工推广使用电动汽车，结合实际，制订本办法。</w:t>
      </w:r>
    </w:p>
    <w:p>
      <w:pPr>
        <w:pStyle w:val="2"/>
        <w:keepNext w:val="0"/>
        <w:keepLines w:val="0"/>
        <w:pageBreakBefore w:val="0"/>
        <w:numPr>
          <w:ilvl w:val="0"/>
          <w:numId w:val="1"/>
        </w:numPr>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eastAsia="黑体" w:cs="黑体"/>
          <w:b w:val="0"/>
          <w:bCs w:val="0"/>
          <w:color w:val="000000"/>
          <w:sz w:val="32"/>
          <w:szCs w:val="32"/>
          <w:u w:val="none"/>
          <w:lang w:val="en-US" w:eastAsia="zh-CN"/>
        </w:rPr>
      </w:pPr>
      <w:r>
        <w:rPr>
          <w:rFonts w:hint="eastAsia" w:eastAsia="黑体" w:cs="黑体"/>
          <w:b w:val="0"/>
          <w:bCs w:val="0"/>
          <w:color w:val="000000"/>
          <w:sz w:val="32"/>
          <w:szCs w:val="32"/>
          <w:u w:val="none"/>
          <w:lang w:val="en-US" w:eastAsia="zh-CN"/>
        </w:rPr>
        <w:t>适用范围</w:t>
      </w:r>
    </w:p>
    <w:p>
      <w:pPr>
        <w:pStyle w:val="2"/>
        <w:keepNext w:val="0"/>
        <w:keepLines w:val="0"/>
        <w:pageBreakBefore w:val="0"/>
        <w:numPr>
          <w:ilvl w:val="0"/>
          <w:numId w:val="0"/>
        </w:numPr>
        <w:kinsoku/>
        <w:overflowPunct/>
        <w:topLinePunct w:val="0"/>
        <w:autoSpaceDE/>
        <w:autoSpaceDN/>
        <w:bidi w:val="0"/>
        <w:adjustRightInd/>
        <w:snapToGrid/>
        <w:spacing w:after="0" w:afterLines="0" w:line="560" w:lineRule="exact"/>
        <w:ind w:right="0" w:rightChars="0" w:firstLine="640" w:firstLineChars="200"/>
        <w:jc w:val="both"/>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本办法所称的单位内部公用充电设施是指本市行政区域内各级政府机关、事业单位、社会团体、企业在单位内部停车场建设的主要供本单位及职工自有电动汽车使用的充电设施，不包括通勤、公交、环卫、出租、邮政、物流、租赁、4S店等单位在专用场站内建设的服务于专用、营运、销售车辆的充电设施。</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单位内部公用充电设施建设</w:t>
      </w:r>
      <w:r>
        <w:rPr>
          <w:rFonts w:hint="eastAsia" w:eastAsia="黑体" w:cs="黑体"/>
          <w:b w:val="0"/>
          <w:bCs w:val="0"/>
          <w:color w:val="000000"/>
          <w:sz w:val="32"/>
          <w:szCs w:val="32"/>
          <w:u w:val="none"/>
          <w:lang w:val="en-US" w:eastAsia="zh-CN"/>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jc w:val="both"/>
        <w:textAlignment w:val="auto"/>
        <w:outlineLvl w:val="9"/>
        <w:rPr>
          <w:rFonts w:hint="eastAsia" w:ascii="宋体" w:hAnsi="宋体" w:eastAsia="黑体" w:cs="黑体"/>
          <w:b w:val="0"/>
          <w:bCs w:val="0"/>
          <w:color w:val="000000"/>
          <w:sz w:val="32"/>
          <w:szCs w:val="32"/>
          <w:u w:val="none"/>
          <w:lang w:val="en-US" w:eastAsia="zh-CN"/>
        </w:rPr>
      </w:pPr>
      <w:r>
        <w:rPr>
          <w:rFonts w:hint="eastAsia" w:ascii="仿宋_GB2312" w:hAnsi="黑体" w:eastAsia="仿宋_GB2312" w:cs="仿宋"/>
          <w:kern w:val="2"/>
          <w:sz w:val="32"/>
          <w:szCs w:val="32"/>
          <w:lang w:val="en-US" w:eastAsia="zh-CN" w:bidi="ar-SA"/>
        </w:rPr>
        <w:t>鼓励各单位统筹考虑单位和职工购买电动汽车的需求，遵循市场化原则，通过服务外包的方式在单位内部停车场配建一定比例的充电设施</w:t>
      </w:r>
      <w:r>
        <w:rPr>
          <w:rFonts w:hint="eastAsia" w:ascii="仿宋_GB2312" w:hAnsi="黑体" w:cs="仿宋"/>
          <w:kern w:val="2"/>
          <w:sz w:val="32"/>
          <w:szCs w:val="32"/>
          <w:lang w:val="en-US" w:eastAsia="zh-CN" w:bidi="ar-SA"/>
        </w:rPr>
        <w:t>；</w:t>
      </w:r>
      <w:r>
        <w:rPr>
          <w:rFonts w:hint="eastAsia" w:ascii="仿宋_GB2312" w:hAnsi="黑体" w:eastAsia="仿宋_GB2312" w:cs="仿宋"/>
          <w:kern w:val="2"/>
          <w:sz w:val="32"/>
          <w:szCs w:val="32"/>
          <w:lang w:val="en-US" w:eastAsia="zh-CN" w:bidi="ar-SA"/>
        </w:rPr>
        <w:t>单位内部公用充电设施建设应当遵循“经济实用、快慢互济”的原则，优先建设交流充电设施，根据实际需求合理配建一定比例的直流快充设施</w:t>
      </w:r>
      <w:r>
        <w:rPr>
          <w:rFonts w:hint="eastAsia" w:ascii="仿宋_GB2312" w:hAnsi="黑体" w:cs="仿宋"/>
          <w:kern w:val="2"/>
          <w:sz w:val="32"/>
          <w:szCs w:val="32"/>
          <w:lang w:val="en-US" w:eastAsia="zh-CN" w:bidi="ar-SA"/>
        </w:rPr>
        <w:t>；</w:t>
      </w:r>
      <w:r>
        <w:rPr>
          <w:rFonts w:hint="eastAsia" w:ascii="仿宋_GB2312" w:hAnsi="黑体" w:eastAsia="仿宋_GB2312" w:cs="仿宋"/>
          <w:kern w:val="2"/>
          <w:sz w:val="32"/>
          <w:szCs w:val="32"/>
          <w:lang w:val="en-US" w:eastAsia="zh-CN" w:bidi="ar-SA"/>
        </w:rPr>
        <w:t>各单位在单位内部既有停车位安装充电设施的，根据国家相关要求，无需办理建设用地规划许可证、建设工程规划许可证和施工许可证</w:t>
      </w:r>
      <w:r>
        <w:rPr>
          <w:rFonts w:hint="eastAsia" w:ascii="仿宋_GB2312" w:hAnsi="黑体" w:cs="仿宋"/>
          <w:kern w:val="2"/>
          <w:sz w:val="32"/>
          <w:szCs w:val="32"/>
          <w:lang w:val="en-US" w:eastAsia="zh-CN" w:bidi="ar-SA"/>
        </w:rPr>
        <w:t>；</w:t>
      </w:r>
      <w:r>
        <w:rPr>
          <w:rFonts w:hint="eastAsia" w:ascii="仿宋_GB2312" w:hAnsi="黑体" w:eastAsia="仿宋_GB2312" w:cs="仿宋"/>
          <w:kern w:val="2"/>
          <w:sz w:val="32"/>
          <w:szCs w:val="32"/>
          <w:lang w:val="en-US" w:eastAsia="zh-CN" w:bidi="ar-SA"/>
        </w:rPr>
        <w:t>不能代收代缴电费的政府机关、事业单位、社会团体采用服务外包方式建设单位内部公用充电设施的，经停车场产权单位同意后，充电设施投资建设单位可以凭营业执照、产权单位授权委托办理证明、房屋或者土地合法证明以及充电设施建设、使用的相关材料向所在区域供电公司申请安装核减电表，实现独立计量</w:t>
      </w:r>
      <w:r>
        <w:rPr>
          <w:rFonts w:hint="eastAsia" w:ascii="仿宋_GB2312" w:hAnsi="黑体" w:cs="仿宋"/>
          <w:kern w:val="2"/>
          <w:sz w:val="32"/>
          <w:szCs w:val="32"/>
          <w:lang w:val="en-US" w:eastAsia="zh-CN" w:bidi="ar-SA"/>
        </w:rPr>
        <w:t>；</w:t>
      </w:r>
      <w:r>
        <w:rPr>
          <w:rFonts w:hint="eastAsia" w:ascii="仿宋_GB2312" w:hAnsi="黑体" w:eastAsia="仿宋_GB2312" w:cs="仿宋"/>
          <w:kern w:val="2"/>
          <w:sz w:val="32"/>
          <w:szCs w:val="32"/>
          <w:lang w:val="en-US" w:eastAsia="zh-CN" w:bidi="ar-SA"/>
        </w:rPr>
        <w:t>新建单位内部公用充电设施产品、建设施工、竣工验收、运营管理符合国家和本市相关标准规范；既有单位内部公用充电设施（2017年1月1日以前建设的）应当根据本单位及职工购买电动汽车的实际情况，逐步完成新国标升级改造。</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单位内部公用充电设施使用管理</w:t>
      </w:r>
      <w:r>
        <w:rPr>
          <w:rFonts w:hint="eastAsia" w:eastAsia="黑体" w:cs="黑体"/>
          <w:b w:val="0"/>
          <w:bCs w:val="0"/>
          <w:color w:val="000000"/>
          <w:sz w:val="32"/>
          <w:szCs w:val="32"/>
          <w:u w:val="none"/>
          <w:lang w:val="en-US" w:eastAsia="zh-CN"/>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jc w:val="both"/>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应加强宣传，让职工全面了解单位内部公用充电设施的建设情况和使用要求</w:t>
      </w:r>
      <w:r>
        <w:rPr>
          <w:rFonts w:hint="eastAsia"/>
          <w:b w:val="0"/>
          <w:bCs w:val="0"/>
          <w:color w:val="000000"/>
          <w:sz w:val="32"/>
          <w:szCs w:val="32"/>
          <w:u w:val="none"/>
          <w:lang w:val="en-US" w:eastAsia="zh-CN"/>
        </w:rPr>
        <w:t>；</w:t>
      </w:r>
      <w:r>
        <w:rPr>
          <w:rFonts w:hint="eastAsia" w:ascii="宋体" w:hAnsi="宋体" w:eastAsia="仿宋_GB2312"/>
          <w:b w:val="0"/>
          <w:bCs w:val="0"/>
          <w:color w:val="000000"/>
          <w:sz w:val="32"/>
          <w:szCs w:val="32"/>
          <w:u w:val="none"/>
          <w:lang w:val="en-US" w:eastAsia="zh-CN"/>
        </w:rPr>
        <w:t>制定职工使用内部公用充电设施的管理制度，明确充电设施的服务时间、使用要求、电费及服务费标准。电费按照国家规定的电价政策执行，充电服务费实行市场调节价</w:t>
      </w:r>
      <w:r>
        <w:rPr>
          <w:rFonts w:hint="eastAsia"/>
          <w:b w:val="0"/>
          <w:bCs w:val="0"/>
          <w:color w:val="000000"/>
          <w:sz w:val="32"/>
          <w:szCs w:val="32"/>
          <w:u w:val="none"/>
          <w:lang w:val="en-US" w:eastAsia="zh-CN"/>
        </w:rPr>
        <w:t>；</w:t>
      </w:r>
      <w:r>
        <w:rPr>
          <w:rFonts w:hint="eastAsia" w:ascii="宋体" w:hAnsi="宋体" w:eastAsia="仿宋_GB2312"/>
          <w:b w:val="0"/>
          <w:bCs w:val="0"/>
          <w:color w:val="000000"/>
          <w:sz w:val="32"/>
          <w:szCs w:val="32"/>
          <w:u w:val="none"/>
          <w:lang w:val="en-US" w:eastAsia="zh-CN"/>
        </w:rPr>
        <w:t>结合职工充电需求，完善内部停车与充电一体化管理制度，加强对燃油车与电动汽车的分类停车引导，避免燃油车占用充电车位。建立单位内部公用充电设施使用信息交流机制，减少电动汽车在充电完成后仍长时间占用充电车位的情况，提高充电设施使用效率</w:t>
      </w:r>
      <w:r>
        <w:rPr>
          <w:rFonts w:hint="eastAsia"/>
          <w:b w:val="0"/>
          <w:bCs w:val="0"/>
          <w:color w:val="000000"/>
          <w:sz w:val="32"/>
          <w:szCs w:val="32"/>
          <w:u w:val="none"/>
          <w:lang w:val="en-US" w:eastAsia="zh-CN"/>
        </w:rPr>
        <w:t>；</w:t>
      </w:r>
      <w:r>
        <w:rPr>
          <w:rFonts w:hint="eastAsia" w:ascii="宋体" w:hAnsi="宋体" w:eastAsia="仿宋_GB2312"/>
          <w:b w:val="0"/>
          <w:bCs w:val="0"/>
          <w:color w:val="000000"/>
          <w:sz w:val="32"/>
          <w:szCs w:val="32"/>
          <w:u w:val="none"/>
          <w:lang w:val="en-US" w:eastAsia="zh-CN"/>
        </w:rPr>
        <w:t>建立健全单位内部公用充电设施安全管理制度，明确单位、充电设施工程建设承包商、充电设施运营服务商等各方的安全责任</w:t>
      </w:r>
      <w:r>
        <w:rPr>
          <w:rFonts w:hint="eastAsia"/>
          <w:b w:val="0"/>
          <w:bCs w:val="0"/>
          <w:color w:val="000000"/>
          <w:sz w:val="32"/>
          <w:szCs w:val="32"/>
          <w:u w:val="none"/>
          <w:lang w:val="en-US" w:eastAsia="zh-CN"/>
        </w:rPr>
        <w:t>；</w:t>
      </w:r>
      <w:r>
        <w:rPr>
          <w:rFonts w:hint="eastAsia" w:ascii="宋体" w:hAnsi="宋体" w:eastAsia="仿宋_GB2312"/>
          <w:b w:val="0"/>
          <w:bCs w:val="0"/>
          <w:color w:val="000000"/>
          <w:sz w:val="32"/>
          <w:szCs w:val="32"/>
          <w:u w:val="none"/>
          <w:lang w:val="en-US" w:eastAsia="zh-CN"/>
        </w:rPr>
        <w:t>将充电设施纳入单位安全管理责任体系，指定专人负责定期巡检，将安全责任全面落实；遇重大活动、汛期等情况，加强安全检查和运行维护，确保充电设施安全可靠运行</w:t>
      </w:r>
      <w:r>
        <w:rPr>
          <w:rFonts w:hint="eastAsia"/>
          <w:b w:val="0"/>
          <w:bCs w:val="0"/>
          <w:color w:val="000000"/>
          <w:sz w:val="32"/>
          <w:szCs w:val="32"/>
          <w:u w:val="none"/>
          <w:lang w:val="en-US" w:eastAsia="zh-CN"/>
        </w:rPr>
        <w:t>；</w:t>
      </w:r>
      <w:r>
        <w:rPr>
          <w:rFonts w:hint="eastAsia" w:ascii="宋体" w:hAnsi="宋体" w:eastAsia="仿宋_GB2312"/>
          <w:b w:val="0"/>
          <w:bCs w:val="0"/>
          <w:color w:val="000000"/>
          <w:sz w:val="32"/>
          <w:szCs w:val="32"/>
          <w:u w:val="none"/>
          <w:lang w:val="en-US" w:eastAsia="zh-CN"/>
        </w:rPr>
        <w:t>在满足单位内部公用充电设施用电量单独计量的条件下，统计公共机构用电量时扣除非公务用车用电量。</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黑体" w:cs="黑体"/>
          <w:b w:val="0"/>
          <w:bCs w:val="0"/>
          <w:color w:val="000000"/>
          <w:sz w:val="32"/>
          <w:szCs w:val="32"/>
          <w:u w:val="none"/>
          <w:lang w:val="en-US" w:eastAsia="zh-CN"/>
        </w:rPr>
      </w:pPr>
      <w:r>
        <w:rPr>
          <w:rFonts w:hint="eastAsia" w:eastAsia="黑体" w:cs="黑体"/>
          <w:b w:val="0"/>
          <w:bCs w:val="0"/>
          <w:color w:val="000000"/>
          <w:sz w:val="32"/>
          <w:szCs w:val="32"/>
          <w:u w:val="none"/>
          <w:lang w:val="en-US" w:eastAsia="zh-CN"/>
        </w:rPr>
        <w:t>五、</w:t>
      </w:r>
      <w:r>
        <w:rPr>
          <w:rFonts w:hint="eastAsia" w:ascii="宋体" w:hAnsi="宋体" w:eastAsia="黑体" w:cs="黑体"/>
          <w:b w:val="0"/>
          <w:bCs w:val="0"/>
          <w:color w:val="000000"/>
          <w:sz w:val="32"/>
          <w:szCs w:val="32"/>
          <w:u w:val="none"/>
          <w:lang w:val="en-US" w:eastAsia="zh-CN"/>
        </w:rPr>
        <w:t>单位内部公用充电设施补助</w:t>
      </w:r>
      <w:r>
        <w:rPr>
          <w:rFonts w:hint="eastAsia" w:eastAsia="黑体" w:cs="黑体"/>
          <w:b w:val="0"/>
          <w:bCs w:val="0"/>
          <w:color w:val="000000"/>
          <w:sz w:val="32"/>
          <w:szCs w:val="32"/>
          <w:u w:val="none"/>
          <w:lang w:val="en-US" w:eastAsia="zh-CN"/>
        </w:rPr>
        <w:t>要求</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已享受其他财政资金政策支持建设的充电设施，不再给予单位内部公用充电设施补助资金支持</w:t>
      </w:r>
      <w:r>
        <w:rPr>
          <w:rFonts w:hint="eastAsia"/>
          <w:b w:val="0"/>
          <w:bCs w:val="0"/>
          <w:color w:val="000000"/>
          <w:sz w:val="32"/>
          <w:szCs w:val="32"/>
          <w:u w:val="none"/>
          <w:lang w:val="en-US" w:eastAsia="zh-CN"/>
        </w:rPr>
        <w:t>；</w:t>
      </w:r>
      <w:r>
        <w:rPr>
          <w:rFonts w:hint="eastAsia" w:ascii="宋体" w:hAnsi="宋体" w:eastAsia="仿宋_GB2312"/>
          <w:b w:val="0"/>
          <w:bCs w:val="0"/>
          <w:color w:val="000000"/>
          <w:sz w:val="32"/>
          <w:szCs w:val="32"/>
          <w:u w:val="none"/>
          <w:lang w:val="en-US" w:eastAsia="zh-CN"/>
        </w:rPr>
        <w:t>与财政存在供养关系的各类公共机构自建单位内部公用充电设施的，建设资金按照单位预算途径解决，不再给予单位内部公用充电设施补助资金支持；公共机构采用服务外包方式建设单位内部公用充电设施的，由投资建设单位申请单位内部公用充电设施补助资金。</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黑体" w:cs="黑体"/>
          <w:b w:val="0"/>
          <w:bCs w:val="0"/>
          <w:color w:val="000000"/>
          <w:sz w:val="32"/>
          <w:szCs w:val="32"/>
          <w:u w:val="none"/>
          <w:lang w:val="en-US" w:eastAsia="zh-CN"/>
        </w:rPr>
      </w:pPr>
      <w:r>
        <w:rPr>
          <w:rFonts w:hint="eastAsia" w:ascii="宋体" w:hAnsi="宋体" w:eastAsia="黑体" w:cs="黑体"/>
          <w:b w:val="0"/>
          <w:bCs w:val="0"/>
          <w:color w:val="000000"/>
          <w:sz w:val="32"/>
          <w:szCs w:val="32"/>
          <w:u w:val="none"/>
          <w:lang w:val="en-US" w:eastAsia="zh-CN"/>
        </w:rPr>
        <w:t>符合以下条件：</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（一）充电设施符合国家及本市相关标准规范。</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（二）充电设施投资建设企业营业执照的经营范围中含有电动汽车充电设施建设运营、机动车充电销售等相关内容。</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（三）充电设施应具有充电安全责任保险，且与场地权属单位或该场地的管理单位签订安全生产管理协议，或者在有关合同中明确各自的安全生产管理职责。</w:t>
      </w:r>
    </w:p>
    <w:p>
      <w:pPr>
        <w:pStyle w:val="2"/>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b w:val="0"/>
          <w:bCs w:val="0"/>
          <w:color w:val="000000"/>
          <w:sz w:val="32"/>
          <w:szCs w:val="32"/>
          <w:u w:val="none"/>
          <w:lang w:val="en-US" w:eastAsia="zh-CN"/>
        </w:rPr>
      </w:pPr>
      <w:r>
        <w:rPr>
          <w:rFonts w:hint="eastAsia" w:ascii="宋体" w:hAnsi="宋体" w:eastAsia="仿宋_GB2312"/>
          <w:b w:val="0"/>
          <w:bCs w:val="0"/>
          <w:color w:val="000000"/>
          <w:sz w:val="32"/>
          <w:szCs w:val="32"/>
          <w:u w:val="none"/>
          <w:lang w:val="en-US" w:eastAsia="zh-CN"/>
        </w:rPr>
        <w:t>充电设施应接入市级充电设施管理平台，满足功率接入要求，并实现充电设施状态信息互联互通。</w:t>
      </w:r>
    </w:p>
    <w:p>
      <w:r>
        <w:rPr>
          <w:rFonts w:hint="eastAsia" w:ascii="宋体" w:hAnsi="宋体" w:eastAsia="仿宋_GB2312"/>
          <w:b w:val="0"/>
          <w:bCs w:val="0"/>
          <w:color w:val="000000"/>
          <w:sz w:val="32"/>
          <w:szCs w:val="32"/>
          <w:u w:val="none"/>
          <w:lang w:val="en-US" w:eastAsia="zh-CN"/>
        </w:rPr>
        <w:t>市城市管理委负责组织开展补助资金的申报、核查、评审及发放等工作，实施细则另行制定。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5A42"/>
    <w:multiLevelType w:val="singleLevel"/>
    <w:tmpl w:val="60CC5A4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6487"/>
    <w:rsid w:val="08A87E52"/>
    <w:rsid w:val="08E002FB"/>
    <w:rsid w:val="0DA94650"/>
    <w:rsid w:val="115818C5"/>
    <w:rsid w:val="12AF74BD"/>
    <w:rsid w:val="1CD75EA1"/>
    <w:rsid w:val="209B3C17"/>
    <w:rsid w:val="21D97C51"/>
    <w:rsid w:val="22F1757E"/>
    <w:rsid w:val="24DB38C3"/>
    <w:rsid w:val="25C5780A"/>
    <w:rsid w:val="2D696CC5"/>
    <w:rsid w:val="2F7C012C"/>
    <w:rsid w:val="31014C7F"/>
    <w:rsid w:val="353F7E0B"/>
    <w:rsid w:val="35F54F7F"/>
    <w:rsid w:val="3BFA3F53"/>
    <w:rsid w:val="3C0C0168"/>
    <w:rsid w:val="401B41E7"/>
    <w:rsid w:val="40F418DF"/>
    <w:rsid w:val="436534EA"/>
    <w:rsid w:val="46295710"/>
    <w:rsid w:val="5E0C6BD1"/>
    <w:rsid w:val="5FB304C4"/>
    <w:rsid w:val="69F43494"/>
    <w:rsid w:val="70225873"/>
    <w:rsid w:val="722A2A2B"/>
    <w:rsid w:val="7A7E3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lunan</cp:lastModifiedBy>
  <cp:lastPrinted>2021-05-18T04:11:00Z</cp:lastPrinted>
  <dcterms:modified xsi:type="dcterms:W3CDTF">2021-06-18T06:46:19Z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