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sz w:val="36"/>
          <w:szCs w:val="36"/>
        </w:rPr>
      </w:pPr>
      <w:bookmarkStart w:id="0" w:name="_Toc436038702"/>
      <w:bookmarkStart w:id="1" w:name="_Toc435776965"/>
      <w:bookmarkStart w:id="2" w:name="_Toc435773962"/>
      <w:bookmarkStart w:id="3" w:name="_Toc393962293"/>
      <w:bookmarkStart w:id="113" w:name="_GoBack"/>
      <w:bookmarkEnd w:id="113"/>
    </w:p>
    <w:p>
      <w:pPr>
        <w:rPr>
          <w:sz w:val="36"/>
          <w:szCs w:val="36"/>
        </w:rPr>
      </w:pPr>
    </w:p>
    <w:p>
      <w:pPr>
        <w:pStyle w:val="21"/>
        <w:ind w:left="0" w:leftChars="0" w:firstLine="0" w:firstLineChars="0"/>
      </w:pPr>
    </w:p>
    <w:p>
      <w:pPr>
        <w:rPr>
          <w:sz w:val="36"/>
          <w:szCs w:val="36"/>
        </w:rPr>
      </w:pPr>
    </w:p>
    <w:p>
      <w:pPr>
        <w:spacing w:line="440" w:lineRule="atLeast"/>
        <w:jc w:val="center"/>
        <w:rPr>
          <w:rFonts w:hint="eastAsia" w:ascii="方正小标宋_GBK" w:hAnsi="方正小标宋_GBK" w:eastAsia="方正小标宋_GBK" w:cs="方正小标宋_GBK"/>
          <w:b/>
          <w:snapToGrid w:val="0"/>
          <w:kern w:val="0"/>
          <w:sz w:val="44"/>
          <w:szCs w:val="44"/>
        </w:rPr>
      </w:pPr>
      <w:r>
        <w:rPr>
          <w:rFonts w:hint="eastAsia" w:ascii="方正小标宋简体" w:hAnsi="方正小标宋简体" w:eastAsia="方正小标宋简体" w:cs="方正小标宋简体"/>
          <w:b/>
          <w:snapToGrid w:val="0"/>
          <w:kern w:val="0"/>
          <w:sz w:val="44"/>
          <w:szCs w:val="44"/>
        </w:rPr>
        <w:t>广西新能源汽车充电基础设施规划</w:t>
      </w:r>
      <w:bookmarkEnd w:id="0"/>
    </w:p>
    <w:p>
      <w:pPr>
        <w:spacing w:line="440" w:lineRule="atLeast"/>
        <w:jc w:val="center"/>
        <w:rPr>
          <w:rFonts w:hint="eastAsia" w:ascii="方正小标宋_GBK" w:hAnsi="方正小标宋_GBK" w:eastAsia="方正小标宋_GBK" w:cs="方正小标宋_GBK"/>
          <w:b/>
          <w:snapToGrid w:val="0"/>
          <w:kern w:val="0"/>
          <w:sz w:val="44"/>
          <w:szCs w:val="44"/>
        </w:rPr>
      </w:pPr>
      <w:r>
        <w:rPr>
          <w:rFonts w:hint="eastAsia" w:ascii="方正小标宋简体" w:hAnsi="方正小标宋简体" w:eastAsia="方正小标宋简体" w:cs="方正小标宋简体"/>
          <w:b/>
          <w:snapToGrid w:val="0"/>
          <w:kern w:val="0"/>
          <w:sz w:val="44"/>
          <w:szCs w:val="44"/>
        </w:rPr>
        <w:t>（2021—2025年）</w:t>
      </w:r>
    </w:p>
    <w:bookmarkEnd w:id="1"/>
    <w:bookmarkEnd w:id="2"/>
    <w:bookmarkEnd w:id="3"/>
    <w:p>
      <w:pPr>
        <w:pStyle w:val="21"/>
        <w:ind w:firstLine="640"/>
        <w:rPr>
          <w:rFonts w:hAnsi="Times New Roman" w:cs="黑体"/>
          <w:sz w:val="32"/>
          <w:szCs w:val="32"/>
        </w:rPr>
      </w:pPr>
    </w:p>
    <w:p>
      <w:pPr>
        <w:pStyle w:val="21"/>
        <w:ind w:firstLine="640"/>
        <w:rPr>
          <w:rFonts w:hAnsi="Times New Roman" w:cs="黑体"/>
          <w:sz w:val="32"/>
          <w:szCs w:val="32"/>
        </w:rPr>
      </w:pPr>
    </w:p>
    <w:p>
      <w:pPr>
        <w:pStyle w:val="21"/>
        <w:ind w:firstLine="640"/>
        <w:rPr>
          <w:rFonts w:hAnsi="Times New Roman" w:cs="黑体"/>
          <w:sz w:val="32"/>
          <w:szCs w:val="32"/>
        </w:rPr>
      </w:pPr>
    </w:p>
    <w:p>
      <w:pPr>
        <w:pStyle w:val="21"/>
        <w:ind w:firstLine="640"/>
        <w:rPr>
          <w:rFonts w:hAnsi="Times New Roman" w:cs="黑体"/>
          <w:sz w:val="32"/>
          <w:szCs w:val="32"/>
        </w:rPr>
      </w:pPr>
    </w:p>
    <w:p>
      <w:pPr>
        <w:pStyle w:val="21"/>
        <w:ind w:firstLine="640"/>
        <w:rPr>
          <w:rFonts w:hAnsi="Times New Roman" w:cs="黑体"/>
          <w:sz w:val="32"/>
          <w:szCs w:val="32"/>
        </w:rPr>
      </w:pPr>
    </w:p>
    <w:p>
      <w:pPr>
        <w:pStyle w:val="21"/>
        <w:ind w:firstLine="640"/>
        <w:rPr>
          <w:rFonts w:hAnsi="Times New Roman" w:cs="黑体"/>
          <w:sz w:val="32"/>
          <w:szCs w:val="32"/>
        </w:rPr>
      </w:pPr>
    </w:p>
    <w:p>
      <w:pPr>
        <w:pStyle w:val="21"/>
        <w:ind w:firstLine="640"/>
        <w:rPr>
          <w:rFonts w:hAnsi="Times New Roman" w:cs="黑体"/>
          <w:sz w:val="32"/>
          <w:szCs w:val="32"/>
        </w:rPr>
      </w:pPr>
    </w:p>
    <w:p>
      <w:pPr>
        <w:pStyle w:val="21"/>
        <w:ind w:firstLine="640"/>
        <w:rPr>
          <w:rFonts w:hAnsi="Times New Roman" w:cs="黑体"/>
          <w:sz w:val="32"/>
          <w:szCs w:val="32"/>
        </w:rPr>
      </w:pPr>
    </w:p>
    <w:p>
      <w:pPr>
        <w:pStyle w:val="21"/>
        <w:ind w:firstLine="640"/>
        <w:rPr>
          <w:rFonts w:hAnsi="Times New Roman" w:cs="黑体"/>
          <w:sz w:val="32"/>
          <w:szCs w:val="32"/>
        </w:rPr>
      </w:pPr>
    </w:p>
    <w:p>
      <w:pPr>
        <w:pStyle w:val="21"/>
        <w:spacing w:after="0" w:line="240" w:lineRule="auto"/>
        <w:ind w:firstLine="640"/>
        <w:rPr>
          <w:rFonts w:hAnsi="Times New Roman" w:cs="黑体"/>
          <w:sz w:val="32"/>
          <w:szCs w:val="32"/>
        </w:rPr>
      </w:pPr>
    </w:p>
    <w:p>
      <w:pPr>
        <w:pStyle w:val="21"/>
        <w:spacing w:after="0" w:line="240" w:lineRule="auto"/>
        <w:ind w:firstLine="640"/>
        <w:rPr>
          <w:rFonts w:hAnsi="Times New Roman" w:cs="黑体"/>
          <w:sz w:val="32"/>
          <w:szCs w:val="32"/>
        </w:rPr>
      </w:pPr>
    </w:p>
    <w:p>
      <w:pPr>
        <w:pStyle w:val="2"/>
        <w:rPr>
          <w:rFonts w:hint="eastAsia"/>
          <w:color w:val="auto"/>
        </w:rPr>
      </w:pPr>
    </w:p>
    <w:p>
      <w:pPr>
        <w:pStyle w:val="50"/>
        <w:spacing w:after="0"/>
        <w:jc w:val="center"/>
        <w:rPr>
          <w:rFonts w:hint="eastAsia" w:ascii="黑体" w:hAnsi="黑体" w:eastAsia="黑体" w:cs="黑体"/>
          <w:b/>
          <w:bCs w:val="0"/>
          <w:i w:val="0"/>
          <w:iCs w:val="0"/>
          <w:color w:val="auto"/>
        </w:rPr>
      </w:pPr>
      <w:bookmarkStart w:id="4" w:name="_Toc461"/>
      <w:bookmarkStart w:id="5" w:name="_Toc3653"/>
      <w:bookmarkStart w:id="6" w:name="_Toc13574"/>
      <w:bookmarkStart w:id="7" w:name="_Toc16353"/>
      <w:bookmarkStart w:id="8" w:name="_Toc11759"/>
      <w:r>
        <w:rPr>
          <w:rFonts w:hint="eastAsia" w:ascii="黑体" w:hAnsi="黑体" w:eastAsia="黑体" w:cs="黑体"/>
          <w:b/>
          <w:bCs w:val="0"/>
          <w:i w:val="0"/>
          <w:iCs w:val="0"/>
          <w:color w:val="auto"/>
        </w:rPr>
        <w:t>目  录</w:t>
      </w:r>
      <w:bookmarkEnd w:id="4"/>
      <w:bookmarkEnd w:id="5"/>
      <w:bookmarkEnd w:id="6"/>
      <w:bookmarkEnd w:id="7"/>
      <w:bookmarkEnd w:id="8"/>
    </w:p>
    <w:p>
      <w:pPr>
        <w:pStyle w:val="17"/>
        <w:tabs>
          <w:tab w:val="right" w:leader="dot" w:pos="8313"/>
        </w:tabs>
        <w:rPr>
          <w:i w:val="0"/>
          <w:iCs w:val="0"/>
        </w:rPr>
      </w:pPr>
      <w:r>
        <w:rPr>
          <w:i w:val="0"/>
          <w:iCs w:val="0"/>
          <w:sz w:val="32"/>
        </w:rPr>
        <w:fldChar w:fldCharType="begin"/>
      </w:r>
      <w:r>
        <w:rPr>
          <w:i w:val="0"/>
          <w:iCs w:val="0"/>
          <w:sz w:val="32"/>
        </w:rPr>
        <w:instrText xml:space="preserve">TOC \o "1-3" \h \u </w:instrText>
      </w:r>
      <w:r>
        <w:rPr>
          <w:i w:val="0"/>
          <w:iCs w:val="0"/>
          <w:sz w:val="32"/>
        </w:rPr>
        <w:fldChar w:fldCharType="separate"/>
      </w:r>
      <w:r>
        <w:rPr>
          <w:i w:val="0"/>
          <w:iCs w:val="0"/>
          <w:szCs w:val="32"/>
        </w:rPr>
        <w:fldChar w:fldCharType="begin"/>
      </w:r>
      <w:r>
        <w:rPr>
          <w:i w:val="0"/>
          <w:iCs w:val="0"/>
          <w:szCs w:val="32"/>
        </w:rPr>
        <w:instrText xml:space="preserve"> HYPERLINK \l _Toc5263 </w:instrText>
      </w:r>
      <w:r>
        <w:rPr>
          <w:i w:val="0"/>
          <w:iCs w:val="0"/>
          <w:szCs w:val="32"/>
        </w:rPr>
        <w:fldChar w:fldCharType="separate"/>
      </w:r>
      <w:r>
        <w:rPr>
          <w:rFonts w:hint="eastAsia" w:ascii="黑体" w:hAnsi="黑体" w:eastAsia="黑体" w:cs="黑体"/>
          <w:bCs/>
          <w:i w:val="0"/>
          <w:iCs w:val="0"/>
          <w:szCs w:val="32"/>
        </w:rPr>
        <w:t>前言</w:t>
      </w:r>
      <w:r>
        <w:rPr>
          <w:i w:val="0"/>
          <w:iCs w:val="0"/>
        </w:rPr>
        <w:tab/>
      </w:r>
      <w:r>
        <w:rPr>
          <w:i w:val="0"/>
          <w:iCs w:val="0"/>
        </w:rPr>
        <w:fldChar w:fldCharType="begin"/>
      </w:r>
      <w:r>
        <w:rPr>
          <w:i w:val="0"/>
          <w:iCs w:val="0"/>
        </w:rPr>
        <w:instrText xml:space="preserve"> PAGEREF _Toc5263 </w:instrText>
      </w:r>
      <w:r>
        <w:rPr>
          <w:i w:val="0"/>
          <w:iCs w:val="0"/>
        </w:rPr>
        <w:fldChar w:fldCharType="separate"/>
      </w:r>
      <w:r>
        <w:rPr>
          <w:i w:val="0"/>
          <w:iCs w:val="0"/>
        </w:rPr>
        <w:t>1</w:t>
      </w:r>
      <w:r>
        <w:rPr>
          <w:i w:val="0"/>
          <w:iCs w:val="0"/>
        </w:rPr>
        <w:fldChar w:fldCharType="end"/>
      </w:r>
      <w:r>
        <w:rPr>
          <w:i w:val="0"/>
          <w:iCs w:val="0"/>
          <w:szCs w:val="32"/>
        </w:rPr>
        <w:fldChar w:fldCharType="end"/>
      </w:r>
    </w:p>
    <w:p>
      <w:pPr>
        <w:pStyle w:val="17"/>
        <w:tabs>
          <w:tab w:val="right" w:leader="dot" w:pos="8313"/>
        </w:tabs>
        <w:rPr>
          <w:i w:val="0"/>
          <w:iCs w:val="0"/>
        </w:rPr>
      </w:pPr>
      <w:r>
        <w:rPr>
          <w:i w:val="0"/>
          <w:iCs w:val="0"/>
          <w:szCs w:val="32"/>
        </w:rPr>
        <w:fldChar w:fldCharType="begin"/>
      </w:r>
      <w:r>
        <w:rPr>
          <w:i w:val="0"/>
          <w:iCs w:val="0"/>
          <w:szCs w:val="32"/>
        </w:rPr>
        <w:instrText xml:space="preserve"> HYPERLINK \l _Toc6880 </w:instrText>
      </w:r>
      <w:r>
        <w:rPr>
          <w:i w:val="0"/>
          <w:iCs w:val="0"/>
          <w:szCs w:val="32"/>
        </w:rPr>
        <w:fldChar w:fldCharType="separate"/>
      </w:r>
      <w:r>
        <w:rPr>
          <w:rFonts w:hint="eastAsia" w:ascii="黑体" w:hAnsi="黑体" w:eastAsia="黑体" w:cs="黑体"/>
          <w:bCs/>
          <w:i w:val="0"/>
          <w:iCs w:val="0"/>
          <w:szCs w:val="32"/>
        </w:rPr>
        <w:t xml:space="preserve">一、 </w:t>
      </w:r>
      <w:r>
        <w:rPr>
          <w:rFonts w:hint="eastAsia" w:ascii="黑体" w:hAnsi="黑体" w:eastAsia="黑体" w:cs="黑体"/>
          <w:bCs/>
          <w:i w:val="0"/>
          <w:iCs w:val="0"/>
          <w:szCs w:val="32"/>
        </w:rPr>
        <w:t>发展现状</w:t>
      </w:r>
      <w:r>
        <w:rPr>
          <w:i w:val="0"/>
          <w:iCs w:val="0"/>
        </w:rPr>
        <w:tab/>
      </w:r>
      <w:r>
        <w:rPr>
          <w:i w:val="0"/>
          <w:iCs w:val="0"/>
        </w:rPr>
        <w:fldChar w:fldCharType="begin"/>
      </w:r>
      <w:r>
        <w:rPr>
          <w:i w:val="0"/>
          <w:iCs w:val="0"/>
        </w:rPr>
        <w:instrText xml:space="preserve"> PAGEREF _Toc6880 </w:instrText>
      </w:r>
      <w:r>
        <w:rPr>
          <w:i w:val="0"/>
          <w:iCs w:val="0"/>
        </w:rPr>
        <w:fldChar w:fldCharType="separate"/>
      </w:r>
      <w:r>
        <w:rPr>
          <w:i w:val="0"/>
          <w:iCs w:val="0"/>
        </w:rPr>
        <w:t>2</w:t>
      </w:r>
      <w:r>
        <w:rPr>
          <w:i w:val="0"/>
          <w:iCs w:val="0"/>
        </w:rPr>
        <w:fldChar w:fldCharType="end"/>
      </w:r>
      <w:r>
        <w:rPr>
          <w:i w:val="0"/>
          <w:iCs w:val="0"/>
          <w:szCs w:val="32"/>
        </w:rPr>
        <w:fldChar w:fldCharType="end"/>
      </w:r>
    </w:p>
    <w:p>
      <w:pPr>
        <w:pStyle w:val="18"/>
        <w:tabs>
          <w:tab w:val="right" w:leader="dot" w:pos="8313"/>
          <w:tab w:val="clear" w:pos="1440"/>
          <w:tab w:val="clear" w:pos="8303"/>
        </w:tabs>
        <w:rPr>
          <w:i w:val="0"/>
          <w:iCs w:val="0"/>
        </w:rPr>
      </w:pPr>
      <w:r>
        <w:rPr>
          <w:i w:val="0"/>
          <w:iCs w:val="0"/>
          <w:szCs w:val="32"/>
        </w:rPr>
        <w:fldChar w:fldCharType="begin"/>
      </w:r>
      <w:r>
        <w:rPr>
          <w:i w:val="0"/>
          <w:iCs w:val="0"/>
          <w:szCs w:val="32"/>
        </w:rPr>
        <w:instrText xml:space="preserve"> HYPERLINK \l _Toc18449 </w:instrText>
      </w:r>
      <w:r>
        <w:rPr>
          <w:i w:val="0"/>
          <w:iCs w:val="0"/>
          <w:szCs w:val="32"/>
        </w:rPr>
        <w:fldChar w:fldCharType="separate"/>
      </w:r>
      <w:r>
        <w:rPr>
          <w:rFonts w:hint="eastAsia" w:ascii="楷体" w:hAnsi="楷体" w:eastAsia="楷体" w:cs="楷体"/>
          <w:bCs/>
          <w:i w:val="0"/>
          <w:iCs w:val="0"/>
          <w:kern w:val="2"/>
        </w:rPr>
        <w:t xml:space="preserve">（一） </w:t>
      </w:r>
      <w:r>
        <w:rPr>
          <w:rFonts w:hint="eastAsia" w:ascii="楷体" w:hAnsi="楷体" w:eastAsia="楷体" w:cs="楷体"/>
          <w:bCs/>
          <w:i w:val="0"/>
          <w:iCs w:val="0"/>
          <w:kern w:val="2"/>
        </w:rPr>
        <w:t>新能源汽车推广应用现状</w:t>
      </w:r>
      <w:r>
        <w:rPr>
          <w:i w:val="0"/>
          <w:iCs w:val="0"/>
        </w:rPr>
        <w:tab/>
      </w:r>
      <w:r>
        <w:rPr>
          <w:i w:val="0"/>
          <w:iCs w:val="0"/>
        </w:rPr>
        <w:fldChar w:fldCharType="begin"/>
      </w:r>
      <w:r>
        <w:rPr>
          <w:i w:val="0"/>
          <w:iCs w:val="0"/>
        </w:rPr>
        <w:instrText xml:space="preserve"> PAGEREF _Toc18449 </w:instrText>
      </w:r>
      <w:r>
        <w:rPr>
          <w:i w:val="0"/>
          <w:iCs w:val="0"/>
        </w:rPr>
        <w:fldChar w:fldCharType="separate"/>
      </w:r>
      <w:r>
        <w:rPr>
          <w:i w:val="0"/>
          <w:iCs w:val="0"/>
        </w:rPr>
        <w:t>2</w:t>
      </w:r>
      <w:r>
        <w:rPr>
          <w:i w:val="0"/>
          <w:iCs w:val="0"/>
        </w:rPr>
        <w:fldChar w:fldCharType="end"/>
      </w:r>
      <w:r>
        <w:rPr>
          <w:i w:val="0"/>
          <w:iCs w:val="0"/>
          <w:szCs w:val="32"/>
        </w:rPr>
        <w:fldChar w:fldCharType="end"/>
      </w:r>
    </w:p>
    <w:p>
      <w:pPr>
        <w:pStyle w:val="18"/>
        <w:tabs>
          <w:tab w:val="right" w:leader="dot" w:pos="8313"/>
          <w:tab w:val="clear" w:pos="1440"/>
          <w:tab w:val="clear" w:pos="8303"/>
        </w:tabs>
        <w:rPr>
          <w:i w:val="0"/>
          <w:iCs w:val="0"/>
        </w:rPr>
      </w:pPr>
      <w:r>
        <w:rPr>
          <w:i w:val="0"/>
          <w:iCs w:val="0"/>
          <w:szCs w:val="32"/>
        </w:rPr>
        <w:fldChar w:fldCharType="begin"/>
      </w:r>
      <w:r>
        <w:rPr>
          <w:i w:val="0"/>
          <w:iCs w:val="0"/>
          <w:szCs w:val="32"/>
        </w:rPr>
        <w:instrText xml:space="preserve"> HYPERLINK \l _Toc7429 </w:instrText>
      </w:r>
      <w:r>
        <w:rPr>
          <w:i w:val="0"/>
          <w:iCs w:val="0"/>
          <w:szCs w:val="32"/>
        </w:rPr>
        <w:fldChar w:fldCharType="separate"/>
      </w:r>
      <w:r>
        <w:rPr>
          <w:rFonts w:hint="eastAsia" w:ascii="楷体" w:hAnsi="楷体" w:eastAsia="楷体" w:cs="楷体"/>
          <w:bCs/>
          <w:i w:val="0"/>
          <w:iCs w:val="0"/>
          <w:kern w:val="2"/>
        </w:rPr>
        <w:t xml:space="preserve">（二） </w:t>
      </w:r>
      <w:r>
        <w:rPr>
          <w:rFonts w:hint="eastAsia" w:ascii="楷体" w:hAnsi="楷体" w:eastAsia="楷体" w:cs="楷体"/>
          <w:bCs/>
          <w:i w:val="0"/>
          <w:iCs w:val="0"/>
          <w:kern w:val="2"/>
        </w:rPr>
        <w:t>充电基础设施发展现状</w:t>
      </w:r>
      <w:r>
        <w:rPr>
          <w:i w:val="0"/>
          <w:iCs w:val="0"/>
        </w:rPr>
        <w:tab/>
      </w:r>
      <w:r>
        <w:rPr>
          <w:i w:val="0"/>
          <w:iCs w:val="0"/>
        </w:rPr>
        <w:fldChar w:fldCharType="begin"/>
      </w:r>
      <w:r>
        <w:rPr>
          <w:i w:val="0"/>
          <w:iCs w:val="0"/>
        </w:rPr>
        <w:instrText xml:space="preserve"> PAGEREF _Toc7429 </w:instrText>
      </w:r>
      <w:r>
        <w:rPr>
          <w:i w:val="0"/>
          <w:iCs w:val="0"/>
        </w:rPr>
        <w:fldChar w:fldCharType="separate"/>
      </w:r>
      <w:r>
        <w:rPr>
          <w:i w:val="0"/>
          <w:iCs w:val="0"/>
        </w:rPr>
        <w:t>3</w:t>
      </w:r>
      <w:r>
        <w:rPr>
          <w:i w:val="0"/>
          <w:iCs w:val="0"/>
        </w:rPr>
        <w:fldChar w:fldCharType="end"/>
      </w:r>
      <w:r>
        <w:rPr>
          <w:i w:val="0"/>
          <w:iCs w:val="0"/>
          <w:szCs w:val="32"/>
        </w:rPr>
        <w:fldChar w:fldCharType="end"/>
      </w:r>
    </w:p>
    <w:p>
      <w:pPr>
        <w:pStyle w:val="18"/>
        <w:tabs>
          <w:tab w:val="right" w:leader="dot" w:pos="8313"/>
          <w:tab w:val="clear" w:pos="1440"/>
          <w:tab w:val="clear" w:pos="8303"/>
        </w:tabs>
        <w:rPr>
          <w:i w:val="0"/>
          <w:iCs w:val="0"/>
        </w:rPr>
      </w:pPr>
      <w:r>
        <w:rPr>
          <w:i w:val="0"/>
          <w:iCs w:val="0"/>
          <w:szCs w:val="32"/>
        </w:rPr>
        <w:fldChar w:fldCharType="begin"/>
      </w:r>
      <w:r>
        <w:rPr>
          <w:i w:val="0"/>
          <w:iCs w:val="0"/>
          <w:szCs w:val="32"/>
        </w:rPr>
        <w:instrText xml:space="preserve"> HYPERLINK \l _Toc29120 </w:instrText>
      </w:r>
      <w:r>
        <w:rPr>
          <w:i w:val="0"/>
          <w:iCs w:val="0"/>
          <w:szCs w:val="32"/>
        </w:rPr>
        <w:fldChar w:fldCharType="separate"/>
      </w:r>
      <w:r>
        <w:rPr>
          <w:rFonts w:hint="eastAsia" w:ascii="楷体" w:hAnsi="楷体" w:eastAsia="楷体" w:cs="楷体"/>
          <w:bCs/>
          <w:i w:val="0"/>
          <w:iCs w:val="0"/>
          <w:kern w:val="2"/>
        </w:rPr>
        <w:t xml:space="preserve">（三） </w:t>
      </w:r>
      <w:r>
        <w:rPr>
          <w:rFonts w:hint="eastAsia" w:ascii="楷体" w:hAnsi="楷体" w:eastAsia="楷体" w:cs="楷体"/>
          <w:bCs/>
          <w:i w:val="0"/>
          <w:iCs w:val="0"/>
          <w:kern w:val="2"/>
        </w:rPr>
        <w:t>充电基础设施政策支持体系不断完善</w:t>
      </w:r>
      <w:r>
        <w:rPr>
          <w:i w:val="0"/>
          <w:iCs w:val="0"/>
        </w:rPr>
        <w:tab/>
      </w:r>
      <w:r>
        <w:rPr>
          <w:i w:val="0"/>
          <w:iCs w:val="0"/>
        </w:rPr>
        <w:fldChar w:fldCharType="begin"/>
      </w:r>
      <w:r>
        <w:rPr>
          <w:i w:val="0"/>
          <w:iCs w:val="0"/>
        </w:rPr>
        <w:instrText xml:space="preserve"> PAGEREF _Toc29120 </w:instrText>
      </w:r>
      <w:r>
        <w:rPr>
          <w:i w:val="0"/>
          <w:iCs w:val="0"/>
        </w:rPr>
        <w:fldChar w:fldCharType="separate"/>
      </w:r>
      <w:r>
        <w:rPr>
          <w:i w:val="0"/>
          <w:iCs w:val="0"/>
        </w:rPr>
        <w:t>5</w:t>
      </w:r>
      <w:r>
        <w:rPr>
          <w:i w:val="0"/>
          <w:iCs w:val="0"/>
        </w:rPr>
        <w:fldChar w:fldCharType="end"/>
      </w:r>
      <w:r>
        <w:rPr>
          <w:i w:val="0"/>
          <w:iCs w:val="0"/>
          <w:szCs w:val="32"/>
        </w:rPr>
        <w:fldChar w:fldCharType="end"/>
      </w:r>
    </w:p>
    <w:p>
      <w:pPr>
        <w:pStyle w:val="17"/>
        <w:tabs>
          <w:tab w:val="right" w:leader="dot" w:pos="8313"/>
        </w:tabs>
        <w:rPr>
          <w:i w:val="0"/>
          <w:iCs w:val="0"/>
        </w:rPr>
      </w:pPr>
      <w:r>
        <w:rPr>
          <w:i w:val="0"/>
          <w:iCs w:val="0"/>
          <w:szCs w:val="32"/>
        </w:rPr>
        <w:fldChar w:fldCharType="begin"/>
      </w:r>
      <w:r>
        <w:rPr>
          <w:i w:val="0"/>
          <w:iCs w:val="0"/>
          <w:szCs w:val="32"/>
        </w:rPr>
        <w:instrText xml:space="preserve"> HYPERLINK \l _Toc32060 </w:instrText>
      </w:r>
      <w:r>
        <w:rPr>
          <w:i w:val="0"/>
          <w:iCs w:val="0"/>
          <w:szCs w:val="32"/>
        </w:rPr>
        <w:fldChar w:fldCharType="separate"/>
      </w:r>
      <w:r>
        <w:rPr>
          <w:rFonts w:hint="eastAsia" w:ascii="黑体" w:hAnsi="黑体" w:eastAsia="黑体" w:cs="黑体"/>
          <w:bCs/>
          <w:i w:val="0"/>
          <w:iCs w:val="0"/>
          <w:szCs w:val="32"/>
        </w:rPr>
        <w:t xml:space="preserve">二、 </w:t>
      </w:r>
      <w:r>
        <w:rPr>
          <w:rFonts w:hint="eastAsia" w:ascii="黑体" w:hAnsi="黑体" w:eastAsia="黑体" w:cs="黑体"/>
          <w:bCs/>
          <w:i w:val="0"/>
          <w:iCs w:val="0"/>
          <w:szCs w:val="32"/>
        </w:rPr>
        <w:t>发展机遇</w:t>
      </w:r>
      <w:r>
        <w:rPr>
          <w:i w:val="0"/>
          <w:iCs w:val="0"/>
        </w:rPr>
        <w:tab/>
      </w:r>
      <w:r>
        <w:rPr>
          <w:i w:val="0"/>
          <w:iCs w:val="0"/>
        </w:rPr>
        <w:fldChar w:fldCharType="begin"/>
      </w:r>
      <w:r>
        <w:rPr>
          <w:i w:val="0"/>
          <w:iCs w:val="0"/>
        </w:rPr>
        <w:instrText xml:space="preserve"> PAGEREF _Toc32060 </w:instrText>
      </w:r>
      <w:r>
        <w:rPr>
          <w:i w:val="0"/>
          <w:iCs w:val="0"/>
        </w:rPr>
        <w:fldChar w:fldCharType="separate"/>
      </w:r>
      <w:r>
        <w:rPr>
          <w:i w:val="0"/>
          <w:iCs w:val="0"/>
        </w:rPr>
        <w:t>6</w:t>
      </w:r>
      <w:r>
        <w:rPr>
          <w:i w:val="0"/>
          <w:iCs w:val="0"/>
        </w:rPr>
        <w:fldChar w:fldCharType="end"/>
      </w:r>
      <w:r>
        <w:rPr>
          <w:i w:val="0"/>
          <w:iCs w:val="0"/>
          <w:szCs w:val="32"/>
        </w:rPr>
        <w:fldChar w:fldCharType="end"/>
      </w:r>
    </w:p>
    <w:p>
      <w:pPr>
        <w:pStyle w:val="17"/>
        <w:tabs>
          <w:tab w:val="right" w:leader="dot" w:pos="8313"/>
        </w:tabs>
        <w:rPr>
          <w:i w:val="0"/>
          <w:iCs w:val="0"/>
        </w:rPr>
      </w:pPr>
      <w:r>
        <w:rPr>
          <w:i w:val="0"/>
          <w:iCs w:val="0"/>
          <w:szCs w:val="32"/>
        </w:rPr>
        <w:fldChar w:fldCharType="begin"/>
      </w:r>
      <w:r>
        <w:rPr>
          <w:i w:val="0"/>
          <w:iCs w:val="0"/>
          <w:szCs w:val="32"/>
        </w:rPr>
        <w:instrText xml:space="preserve"> HYPERLINK \l _Toc28784 </w:instrText>
      </w:r>
      <w:r>
        <w:rPr>
          <w:i w:val="0"/>
          <w:iCs w:val="0"/>
          <w:szCs w:val="32"/>
        </w:rPr>
        <w:fldChar w:fldCharType="separate"/>
      </w:r>
      <w:r>
        <w:rPr>
          <w:rFonts w:hint="eastAsia" w:ascii="黑体" w:hAnsi="黑体" w:eastAsia="黑体" w:cs="黑体"/>
          <w:bCs/>
          <w:i w:val="0"/>
          <w:iCs w:val="0"/>
          <w:szCs w:val="32"/>
        </w:rPr>
        <w:t xml:space="preserve">三、 </w:t>
      </w:r>
      <w:r>
        <w:rPr>
          <w:rFonts w:hint="eastAsia" w:ascii="黑体" w:hAnsi="黑体" w:eastAsia="黑体" w:cs="黑体"/>
          <w:bCs/>
          <w:i w:val="0"/>
          <w:iCs w:val="0"/>
          <w:szCs w:val="32"/>
        </w:rPr>
        <w:t>总体要求</w:t>
      </w:r>
      <w:r>
        <w:rPr>
          <w:i w:val="0"/>
          <w:iCs w:val="0"/>
        </w:rPr>
        <w:tab/>
      </w:r>
      <w:r>
        <w:rPr>
          <w:i w:val="0"/>
          <w:iCs w:val="0"/>
        </w:rPr>
        <w:fldChar w:fldCharType="begin"/>
      </w:r>
      <w:r>
        <w:rPr>
          <w:i w:val="0"/>
          <w:iCs w:val="0"/>
        </w:rPr>
        <w:instrText xml:space="preserve"> PAGEREF _Toc28784 </w:instrText>
      </w:r>
      <w:r>
        <w:rPr>
          <w:i w:val="0"/>
          <w:iCs w:val="0"/>
        </w:rPr>
        <w:fldChar w:fldCharType="separate"/>
      </w:r>
      <w:r>
        <w:rPr>
          <w:i w:val="0"/>
          <w:iCs w:val="0"/>
        </w:rPr>
        <w:t>7</w:t>
      </w:r>
      <w:r>
        <w:rPr>
          <w:i w:val="0"/>
          <w:iCs w:val="0"/>
        </w:rPr>
        <w:fldChar w:fldCharType="end"/>
      </w:r>
      <w:r>
        <w:rPr>
          <w:i w:val="0"/>
          <w:iCs w:val="0"/>
          <w:szCs w:val="32"/>
        </w:rPr>
        <w:fldChar w:fldCharType="end"/>
      </w:r>
    </w:p>
    <w:p>
      <w:pPr>
        <w:pStyle w:val="18"/>
        <w:tabs>
          <w:tab w:val="right" w:leader="dot" w:pos="8313"/>
          <w:tab w:val="clear" w:pos="1440"/>
          <w:tab w:val="clear" w:pos="8303"/>
        </w:tabs>
        <w:rPr>
          <w:i w:val="0"/>
          <w:iCs w:val="0"/>
        </w:rPr>
      </w:pPr>
      <w:r>
        <w:rPr>
          <w:i w:val="0"/>
          <w:iCs w:val="0"/>
          <w:szCs w:val="32"/>
        </w:rPr>
        <w:fldChar w:fldCharType="begin"/>
      </w:r>
      <w:r>
        <w:rPr>
          <w:i w:val="0"/>
          <w:iCs w:val="0"/>
          <w:szCs w:val="32"/>
        </w:rPr>
        <w:instrText xml:space="preserve"> HYPERLINK \l _Toc32201 </w:instrText>
      </w:r>
      <w:r>
        <w:rPr>
          <w:i w:val="0"/>
          <w:iCs w:val="0"/>
          <w:szCs w:val="32"/>
        </w:rPr>
        <w:fldChar w:fldCharType="separate"/>
      </w:r>
      <w:r>
        <w:rPr>
          <w:rFonts w:hint="eastAsia" w:ascii="楷体" w:hAnsi="楷体" w:eastAsia="楷体" w:cs="楷体"/>
          <w:bCs/>
          <w:i w:val="0"/>
          <w:iCs w:val="0"/>
          <w:kern w:val="2"/>
        </w:rPr>
        <w:t xml:space="preserve">（一） </w:t>
      </w:r>
      <w:r>
        <w:rPr>
          <w:rFonts w:hint="eastAsia" w:ascii="楷体" w:hAnsi="楷体" w:eastAsia="楷体" w:cs="楷体"/>
          <w:bCs/>
          <w:i w:val="0"/>
          <w:iCs w:val="0"/>
          <w:kern w:val="2"/>
        </w:rPr>
        <w:t>指导思想</w:t>
      </w:r>
      <w:r>
        <w:rPr>
          <w:i w:val="0"/>
          <w:iCs w:val="0"/>
        </w:rPr>
        <w:tab/>
      </w:r>
      <w:r>
        <w:rPr>
          <w:i w:val="0"/>
          <w:iCs w:val="0"/>
        </w:rPr>
        <w:fldChar w:fldCharType="begin"/>
      </w:r>
      <w:r>
        <w:rPr>
          <w:i w:val="0"/>
          <w:iCs w:val="0"/>
        </w:rPr>
        <w:instrText xml:space="preserve"> PAGEREF _Toc32201 </w:instrText>
      </w:r>
      <w:r>
        <w:rPr>
          <w:i w:val="0"/>
          <w:iCs w:val="0"/>
        </w:rPr>
        <w:fldChar w:fldCharType="separate"/>
      </w:r>
      <w:r>
        <w:rPr>
          <w:i w:val="0"/>
          <w:iCs w:val="0"/>
        </w:rPr>
        <w:t>7</w:t>
      </w:r>
      <w:r>
        <w:rPr>
          <w:i w:val="0"/>
          <w:iCs w:val="0"/>
        </w:rPr>
        <w:fldChar w:fldCharType="end"/>
      </w:r>
      <w:r>
        <w:rPr>
          <w:i w:val="0"/>
          <w:iCs w:val="0"/>
          <w:szCs w:val="32"/>
        </w:rPr>
        <w:fldChar w:fldCharType="end"/>
      </w:r>
    </w:p>
    <w:p>
      <w:pPr>
        <w:pStyle w:val="18"/>
        <w:tabs>
          <w:tab w:val="right" w:leader="dot" w:pos="8313"/>
          <w:tab w:val="clear" w:pos="1440"/>
          <w:tab w:val="clear" w:pos="8303"/>
        </w:tabs>
        <w:rPr>
          <w:i w:val="0"/>
          <w:iCs w:val="0"/>
        </w:rPr>
      </w:pPr>
      <w:r>
        <w:rPr>
          <w:i w:val="0"/>
          <w:iCs w:val="0"/>
          <w:szCs w:val="32"/>
        </w:rPr>
        <w:fldChar w:fldCharType="begin"/>
      </w:r>
      <w:r>
        <w:rPr>
          <w:i w:val="0"/>
          <w:iCs w:val="0"/>
          <w:szCs w:val="32"/>
        </w:rPr>
        <w:instrText xml:space="preserve"> HYPERLINK \l _Toc26897 </w:instrText>
      </w:r>
      <w:r>
        <w:rPr>
          <w:i w:val="0"/>
          <w:iCs w:val="0"/>
          <w:szCs w:val="32"/>
        </w:rPr>
        <w:fldChar w:fldCharType="separate"/>
      </w:r>
      <w:r>
        <w:rPr>
          <w:rFonts w:hint="eastAsia" w:ascii="楷体" w:hAnsi="楷体" w:eastAsia="楷体" w:cs="楷体"/>
          <w:bCs/>
          <w:i w:val="0"/>
          <w:iCs w:val="0"/>
          <w:kern w:val="2"/>
        </w:rPr>
        <w:t xml:space="preserve">（二） </w:t>
      </w:r>
      <w:r>
        <w:rPr>
          <w:rFonts w:hint="eastAsia" w:ascii="楷体" w:hAnsi="楷体" w:eastAsia="楷体" w:cs="楷体"/>
          <w:bCs/>
          <w:i w:val="0"/>
          <w:iCs w:val="0"/>
          <w:kern w:val="2"/>
        </w:rPr>
        <w:t>规划原则</w:t>
      </w:r>
      <w:r>
        <w:rPr>
          <w:i w:val="0"/>
          <w:iCs w:val="0"/>
        </w:rPr>
        <w:tab/>
      </w:r>
      <w:r>
        <w:rPr>
          <w:i w:val="0"/>
          <w:iCs w:val="0"/>
        </w:rPr>
        <w:fldChar w:fldCharType="begin"/>
      </w:r>
      <w:r>
        <w:rPr>
          <w:i w:val="0"/>
          <w:iCs w:val="0"/>
        </w:rPr>
        <w:instrText xml:space="preserve"> PAGEREF _Toc26897 </w:instrText>
      </w:r>
      <w:r>
        <w:rPr>
          <w:i w:val="0"/>
          <w:iCs w:val="0"/>
        </w:rPr>
        <w:fldChar w:fldCharType="separate"/>
      </w:r>
      <w:r>
        <w:rPr>
          <w:i w:val="0"/>
          <w:iCs w:val="0"/>
        </w:rPr>
        <w:t>7</w:t>
      </w:r>
      <w:r>
        <w:rPr>
          <w:i w:val="0"/>
          <w:iCs w:val="0"/>
        </w:rPr>
        <w:fldChar w:fldCharType="end"/>
      </w:r>
      <w:r>
        <w:rPr>
          <w:i w:val="0"/>
          <w:iCs w:val="0"/>
          <w:szCs w:val="32"/>
        </w:rPr>
        <w:fldChar w:fldCharType="end"/>
      </w:r>
    </w:p>
    <w:p>
      <w:pPr>
        <w:pStyle w:val="18"/>
        <w:tabs>
          <w:tab w:val="right" w:leader="dot" w:pos="8313"/>
          <w:tab w:val="clear" w:pos="1440"/>
          <w:tab w:val="clear" w:pos="8303"/>
        </w:tabs>
        <w:rPr>
          <w:i w:val="0"/>
          <w:iCs w:val="0"/>
        </w:rPr>
      </w:pPr>
      <w:r>
        <w:rPr>
          <w:i w:val="0"/>
          <w:iCs w:val="0"/>
          <w:szCs w:val="32"/>
        </w:rPr>
        <w:fldChar w:fldCharType="begin"/>
      </w:r>
      <w:r>
        <w:rPr>
          <w:i w:val="0"/>
          <w:iCs w:val="0"/>
          <w:szCs w:val="32"/>
        </w:rPr>
        <w:instrText xml:space="preserve"> HYPERLINK \l _Toc21680 </w:instrText>
      </w:r>
      <w:r>
        <w:rPr>
          <w:i w:val="0"/>
          <w:iCs w:val="0"/>
          <w:szCs w:val="32"/>
        </w:rPr>
        <w:fldChar w:fldCharType="separate"/>
      </w:r>
      <w:r>
        <w:rPr>
          <w:rFonts w:hint="eastAsia" w:ascii="楷体" w:hAnsi="楷体" w:eastAsia="楷体" w:cs="楷体"/>
          <w:i w:val="0"/>
          <w:iCs w:val="0"/>
          <w:kern w:val="2"/>
        </w:rPr>
        <w:t>（三） 配置原则</w:t>
      </w:r>
      <w:r>
        <w:rPr>
          <w:i w:val="0"/>
          <w:iCs w:val="0"/>
        </w:rPr>
        <w:tab/>
      </w:r>
      <w:r>
        <w:rPr>
          <w:i w:val="0"/>
          <w:iCs w:val="0"/>
        </w:rPr>
        <w:fldChar w:fldCharType="begin"/>
      </w:r>
      <w:r>
        <w:rPr>
          <w:i w:val="0"/>
          <w:iCs w:val="0"/>
        </w:rPr>
        <w:instrText xml:space="preserve"> PAGEREF _Toc21680 </w:instrText>
      </w:r>
      <w:r>
        <w:rPr>
          <w:i w:val="0"/>
          <w:iCs w:val="0"/>
        </w:rPr>
        <w:fldChar w:fldCharType="separate"/>
      </w:r>
      <w:r>
        <w:rPr>
          <w:i w:val="0"/>
          <w:iCs w:val="0"/>
        </w:rPr>
        <w:t>8</w:t>
      </w:r>
      <w:r>
        <w:rPr>
          <w:i w:val="0"/>
          <w:iCs w:val="0"/>
        </w:rPr>
        <w:fldChar w:fldCharType="end"/>
      </w:r>
      <w:r>
        <w:rPr>
          <w:i w:val="0"/>
          <w:iCs w:val="0"/>
          <w:szCs w:val="32"/>
        </w:rPr>
        <w:fldChar w:fldCharType="end"/>
      </w:r>
    </w:p>
    <w:p>
      <w:pPr>
        <w:pStyle w:val="18"/>
        <w:tabs>
          <w:tab w:val="right" w:leader="dot" w:pos="8313"/>
          <w:tab w:val="clear" w:pos="1440"/>
          <w:tab w:val="clear" w:pos="8303"/>
        </w:tabs>
        <w:rPr>
          <w:i w:val="0"/>
          <w:iCs w:val="0"/>
        </w:rPr>
      </w:pPr>
      <w:r>
        <w:rPr>
          <w:i w:val="0"/>
          <w:iCs w:val="0"/>
          <w:szCs w:val="32"/>
        </w:rPr>
        <w:fldChar w:fldCharType="begin"/>
      </w:r>
      <w:r>
        <w:rPr>
          <w:i w:val="0"/>
          <w:iCs w:val="0"/>
          <w:szCs w:val="32"/>
        </w:rPr>
        <w:instrText xml:space="preserve"> HYPERLINK \l _Toc4894 </w:instrText>
      </w:r>
      <w:r>
        <w:rPr>
          <w:i w:val="0"/>
          <w:iCs w:val="0"/>
          <w:szCs w:val="32"/>
        </w:rPr>
        <w:fldChar w:fldCharType="separate"/>
      </w:r>
      <w:r>
        <w:rPr>
          <w:rFonts w:hint="eastAsia" w:ascii="楷体" w:hAnsi="楷体" w:eastAsia="楷体" w:cs="楷体"/>
          <w:bCs/>
          <w:i w:val="0"/>
          <w:iCs w:val="0"/>
          <w:kern w:val="2"/>
        </w:rPr>
        <w:t xml:space="preserve">（四） </w:t>
      </w:r>
      <w:r>
        <w:rPr>
          <w:rFonts w:hint="eastAsia" w:ascii="楷体" w:hAnsi="楷体" w:eastAsia="楷体" w:cs="楷体"/>
          <w:bCs/>
          <w:i w:val="0"/>
          <w:iCs w:val="0"/>
          <w:kern w:val="2"/>
        </w:rPr>
        <w:t>发展目标</w:t>
      </w:r>
      <w:r>
        <w:rPr>
          <w:i w:val="0"/>
          <w:iCs w:val="0"/>
        </w:rPr>
        <w:tab/>
      </w:r>
      <w:r>
        <w:rPr>
          <w:i w:val="0"/>
          <w:iCs w:val="0"/>
        </w:rPr>
        <w:fldChar w:fldCharType="begin"/>
      </w:r>
      <w:r>
        <w:rPr>
          <w:i w:val="0"/>
          <w:iCs w:val="0"/>
        </w:rPr>
        <w:instrText xml:space="preserve"> PAGEREF _Toc4894 </w:instrText>
      </w:r>
      <w:r>
        <w:rPr>
          <w:i w:val="0"/>
          <w:iCs w:val="0"/>
        </w:rPr>
        <w:fldChar w:fldCharType="separate"/>
      </w:r>
      <w:r>
        <w:rPr>
          <w:i w:val="0"/>
          <w:iCs w:val="0"/>
        </w:rPr>
        <w:t>10</w:t>
      </w:r>
      <w:r>
        <w:rPr>
          <w:i w:val="0"/>
          <w:iCs w:val="0"/>
        </w:rPr>
        <w:fldChar w:fldCharType="end"/>
      </w:r>
      <w:r>
        <w:rPr>
          <w:i w:val="0"/>
          <w:iCs w:val="0"/>
          <w:szCs w:val="32"/>
        </w:rPr>
        <w:fldChar w:fldCharType="end"/>
      </w:r>
    </w:p>
    <w:p>
      <w:pPr>
        <w:pStyle w:val="17"/>
        <w:tabs>
          <w:tab w:val="right" w:leader="dot" w:pos="8313"/>
        </w:tabs>
        <w:rPr>
          <w:i w:val="0"/>
          <w:iCs w:val="0"/>
        </w:rPr>
      </w:pPr>
      <w:r>
        <w:rPr>
          <w:i w:val="0"/>
          <w:iCs w:val="0"/>
          <w:szCs w:val="32"/>
        </w:rPr>
        <w:fldChar w:fldCharType="begin"/>
      </w:r>
      <w:r>
        <w:rPr>
          <w:i w:val="0"/>
          <w:iCs w:val="0"/>
          <w:szCs w:val="32"/>
        </w:rPr>
        <w:instrText xml:space="preserve"> HYPERLINK \l _Toc30434 </w:instrText>
      </w:r>
      <w:r>
        <w:rPr>
          <w:i w:val="0"/>
          <w:iCs w:val="0"/>
          <w:szCs w:val="32"/>
        </w:rPr>
        <w:fldChar w:fldCharType="separate"/>
      </w:r>
      <w:r>
        <w:rPr>
          <w:rFonts w:hint="eastAsia" w:ascii="黑体" w:hAnsi="黑体" w:eastAsia="黑体" w:cs="黑体"/>
          <w:bCs/>
          <w:i w:val="0"/>
          <w:iCs w:val="0"/>
          <w:szCs w:val="32"/>
        </w:rPr>
        <w:t xml:space="preserve">四、 </w:t>
      </w:r>
      <w:r>
        <w:rPr>
          <w:rFonts w:hint="eastAsia" w:ascii="黑体" w:hAnsi="黑体" w:eastAsia="黑体" w:cs="黑体"/>
          <w:bCs/>
          <w:i w:val="0"/>
          <w:iCs w:val="0"/>
          <w:szCs w:val="32"/>
        </w:rPr>
        <w:t>重点任务</w:t>
      </w:r>
      <w:r>
        <w:rPr>
          <w:i w:val="0"/>
          <w:iCs w:val="0"/>
        </w:rPr>
        <w:tab/>
      </w:r>
      <w:r>
        <w:rPr>
          <w:i w:val="0"/>
          <w:iCs w:val="0"/>
        </w:rPr>
        <w:fldChar w:fldCharType="begin"/>
      </w:r>
      <w:r>
        <w:rPr>
          <w:i w:val="0"/>
          <w:iCs w:val="0"/>
        </w:rPr>
        <w:instrText xml:space="preserve"> PAGEREF _Toc30434 </w:instrText>
      </w:r>
      <w:r>
        <w:rPr>
          <w:i w:val="0"/>
          <w:iCs w:val="0"/>
        </w:rPr>
        <w:fldChar w:fldCharType="separate"/>
      </w:r>
      <w:r>
        <w:rPr>
          <w:i w:val="0"/>
          <w:iCs w:val="0"/>
        </w:rPr>
        <w:t>11</w:t>
      </w:r>
      <w:r>
        <w:rPr>
          <w:i w:val="0"/>
          <w:iCs w:val="0"/>
        </w:rPr>
        <w:fldChar w:fldCharType="end"/>
      </w:r>
      <w:r>
        <w:rPr>
          <w:i w:val="0"/>
          <w:iCs w:val="0"/>
          <w:szCs w:val="32"/>
        </w:rPr>
        <w:fldChar w:fldCharType="end"/>
      </w:r>
    </w:p>
    <w:p>
      <w:pPr>
        <w:pStyle w:val="18"/>
        <w:tabs>
          <w:tab w:val="right" w:leader="dot" w:pos="8313"/>
          <w:tab w:val="clear" w:pos="1440"/>
          <w:tab w:val="clear" w:pos="8303"/>
        </w:tabs>
        <w:rPr>
          <w:i w:val="0"/>
          <w:iCs w:val="0"/>
        </w:rPr>
      </w:pPr>
      <w:r>
        <w:rPr>
          <w:i w:val="0"/>
          <w:iCs w:val="0"/>
          <w:szCs w:val="32"/>
        </w:rPr>
        <w:fldChar w:fldCharType="begin"/>
      </w:r>
      <w:r>
        <w:rPr>
          <w:i w:val="0"/>
          <w:iCs w:val="0"/>
          <w:szCs w:val="32"/>
        </w:rPr>
        <w:instrText xml:space="preserve"> HYPERLINK \l _Toc17826 </w:instrText>
      </w:r>
      <w:r>
        <w:rPr>
          <w:i w:val="0"/>
          <w:iCs w:val="0"/>
          <w:szCs w:val="32"/>
        </w:rPr>
        <w:fldChar w:fldCharType="separate"/>
      </w:r>
      <w:r>
        <w:rPr>
          <w:rFonts w:hint="eastAsia" w:ascii="楷体" w:hAnsi="楷体" w:eastAsia="楷体" w:cs="楷体"/>
          <w:bCs/>
          <w:i w:val="0"/>
          <w:iCs w:val="0"/>
          <w:kern w:val="2"/>
        </w:rPr>
        <w:t xml:space="preserve">（一） </w:t>
      </w:r>
      <w:r>
        <w:rPr>
          <w:rFonts w:hint="eastAsia" w:ascii="楷体" w:hAnsi="楷体" w:eastAsia="楷体" w:cs="楷体"/>
          <w:bCs/>
          <w:i w:val="0"/>
          <w:iCs w:val="0"/>
          <w:kern w:val="2"/>
        </w:rPr>
        <w:t>加快充电基础设施建设布局</w:t>
      </w:r>
      <w:r>
        <w:rPr>
          <w:i w:val="0"/>
          <w:iCs w:val="0"/>
        </w:rPr>
        <w:tab/>
      </w:r>
      <w:r>
        <w:rPr>
          <w:i w:val="0"/>
          <w:iCs w:val="0"/>
        </w:rPr>
        <w:fldChar w:fldCharType="begin"/>
      </w:r>
      <w:r>
        <w:rPr>
          <w:i w:val="0"/>
          <w:iCs w:val="0"/>
        </w:rPr>
        <w:instrText xml:space="preserve"> PAGEREF _Toc17826 </w:instrText>
      </w:r>
      <w:r>
        <w:rPr>
          <w:i w:val="0"/>
          <w:iCs w:val="0"/>
        </w:rPr>
        <w:fldChar w:fldCharType="separate"/>
      </w:r>
      <w:r>
        <w:rPr>
          <w:i w:val="0"/>
          <w:iCs w:val="0"/>
        </w:rPr>
        <w:t>11</w:t>
      </w:r>
      <w:r>
        <w:rPr>
          <w:i w:val="0"/>
          <w:iCs w:val="0"/>
        </w:rPr>
        <w:fldChar w:fldCharType="end"/>
      </w:r>
      <w:r>
        <w:rPr>
          <w:i w:val="0"/>
          <w:iCs w:val="0"/>
          <w:szCs w:val="32"/>
        </w:rPr>
        <w:fldChar w:fldCharType="end"/>
      </w:r>
    </w:p>
    <w:p>
      <w:pPr>
        <w:pStyle w:val="18"/>
        <w:tabs>
          <w:tab w:val="right" w:leader="dot" w:pos="8313"/>
          <w:tab w:val="clear" w:pos="1440"/>
          <w:tab w:val="clear" w:pos="8303"/>
        </w:tabs>
        <w:rPr>
          <w:i w:val="0"/>
          <w:iCs w:val="0"/>
        </w:rPr>
      </w:pPr>
      <w:r>
        <w:rPr>
          <w:i w:val="0"/>
          <w:iCs w:val="0"/>
          <w:szCs w:val="32"/>
        </w:rPr>
        <w:fldChar w:fldCharType="begin"/>
      </w:r>
      <w:r>
        <w:rPr>
          <w:i w:val="0"/>
          <w:iCs w:val="0"/>
          <w:szCs w:val="32"/>
        </w:rPr>
        <w:instrText xml:space="preserve"> HYPERLINK \l _Toc9646 </w:instrText>
      </w:r>
      <w:r>
        <w:rPr>
          <w:i w:val="0"/>
          <w:iCs w:val="0"/>
          <w:szCs w:val="32"/>
        </w:rPr>
        <w:fldChar w:fldCharType="separate"/>
      </w:r>
      <w:r>
        <w:rPr>
          <w:rFonts w:hint="eastAsia" w:ascii="楷体" w:hAnsi="楷体" w:eastAsia="楷体" w:cs="楷体"/>
          <w:bCs/>
          <w:i w:val="0"/>
          <w:iCs w:val="0"/>
          <w:kern w:val="2"/>
        </w:rPr>
        <w:t xml:space="preserve">（二） </w:t>
      </w:r>
      <w:r>
        <w:rPr>
          <w:rFonts w:hint="eastAsia" w:ascii="楷体" w:hAnsi="楷体" w:eastAsia="楷体" w:cs="楷体"/>
          <w:bCs/>
          <w:i w:val="0"/>
          <w:iCs w:val="0"/>
          <w:kern w:val="2"/>
        </w:rPr>
        <w:t>配套新能源汽车</w:t>
      </w:r>
      <w:r>
        <w:rPr>
          <w:rFonts w:ascii="楷体" w:hAnsi="楷体" w:eastAsia="楷体" w:cs="楷体"/>
          <w:bCs/>
          <w:i w:val="0"/>
          <w:iCs w:val="0"/>
          <w:kern w:val="2"/>
        </w:rPr>
        <w:t>产业积极推进换电站</w:t>
      </w:r>
      <w:r>
        <w:rPr>
          <w:rFonts w:hint="eastAsia" w:ascii="楷体" w:hAnsi="楷体" w:eastAsia="楷体" w:cs="楷体"/>
          <w:bCs/>
          <w:i w:val="0"/>
          <w:iCs w:val="0"/>
          <w:kern w:val="2"/>
        </w:rPr>
        <w:t>布局</w:t>
      </w:r>
      <w:r>
        <w:rPr>
          <w:i w:val="0"/>
          <w:iCs w:val="0"/>
        </w:rPr>
        <w:tab/>
      </w:r>
      <w:r>
        <w:rPr>
          <w:i w:val="0"/>
          <w:iCs w:val="0"/>
        </w:rPr>
        <w:fldChar w:fldCharType="begin"/>
      </w:r>
      <w:r>
        <w:rPr>
          <w:i w:val="0"/>
          <w:iCs w:val="0"/>
        </w:rPr>
        <w:instrText xml:space="preserve"> PAGEREF _Toc9646 </w:instrText>
      </w:r>
      <w:r>
        <w:rPr>
          <w:i w:val="0"/>
          <w:iCs w:val="0"/>
        </w:rPr>
        <w:fldChar w:fldCharType="separate"/>
      </w:r>
      <w:r>
        <w:rPr>
          <w:i w:val="0"/>
          <w:iCs w:val="0"/>
        </w:rPr>
        <w:t>13</w:t>
      </w:r>
      <w:r>
        <w:rPr>
          <w:i w:val="0"/>
          <w:iCs w:val="0"/>
        </w:rPr>
        <w:fldChar w:fldCharType="end"/>
      </w:r>
      <w:r>
        <w:rPr>
          <w:i w:val="0"/>
          <w:iCs w:val="0"/>
          <w:szCs w:val="32"/>
        </w:rPr>
        <w:fldChar w:fldCharType="end"/>
      </w:r>
    </w:p>
    <w:p>
      <w:pPr>
        <w:pStyle w:val="18"/>
        <w:tabs>
          <w:tab w:val="right" w:leader="dot" w:pos="8313"/>
          <w:tab w:val="clear" w:pos="1440"/>
          <w:tab w:val="clear" w:pos="8303"/>
        </w:tabs>
        <w:rPr>
          <w:i w:val="0"/>
          <w:iCs w:val="0"/>
        </w:rPr>
      </w:pPr>
      <w:r>
        <w:rPr>
          <w:i w:val="0"/>
          <w:iCs w:val="0"/>
          <w:szCs w:val="32"/>
        </w:rPr>
        <w:fldChar w:fldCharType="begin"/>
      </w:r>
      <w:r>
        <w:rPr>
          <w:i w:val="0"/>
          <w:iCs w:val="0"/>
          <w:szCs w:val="32"/>
        </w:rPr>
        <w:instrText xml:space="preserve"> HYPERLINK \l _Toc12627 </w:instrText>
      </w:r>
      <w:r>
        <w:rPr>
          <w:i w:val="0"/>
          <w:iCs w:val="0"/>
          <w:szCs w:val="32"/>
        </w:rPr>
        <w:fldChar w:fldCharType="separate"/>
      </w:r>
      <w:r>
        <w:rPr>
          <w:rFonts w:hint="eastAsia" w:ascii="楷体" w:hAnsi="楷体" w:eastAsia="楷体" w:cs="楷体"/>
          <w:bCs/>
          <w:i w:val="0"/>
          <w:iCs w:val="0"/>
          <w:kern w:val="2"/>
        </w:rPr>
        <w:t xml:space="preserve">（三） </w:t>
      </w:r>
      <w:r>
        <w:rPr>
          <w:rFonts w:hint="eastAsia" w:ascii="楷体" w:hAnsi="楷体" w:eastAsia="楷体" w:cs="楷体"/>
          <w:bCs/>
          <w:i w:val="0"/>
          <w:iCs w:val="0"/>
          <w:kern w:val="2"/>
        </w:rPr>
        <w:t>完善全区智能充电服务平台</w:t>
      </w:r>
      <w:r>
        <w:rPr>
          <w:i w:val="0"/>
          <w:iCs w:val="0"/>
        </w:rPr>
        <w:tab/>
      </w:r>
      <w:r>
        <w:rPr>
          <w:i w:val="0"/>
          <w:iCs w:val="0"/>
        </w:rPr>
        <w:fldChar w:fldCharType="begin"/>
      </w:r>
      <w:r>
        <w:rPr>
          <w:i w:val="0"/>
          <w:iCs w:val="0"/>
        </w:rPr>
        <w:instrText xml:space="preserve"> PAGEREF _Toc12627 </w:instrText>
      </w:r>
      <w:r>
        <w:rPr>
          <w:i w:val="0"/>
          <w:iCs w:val="0"/>
        </w:rPr>
        <w:fldChar w:fldCharType="separate"/>
      </w:r>
      <w:r>
        <w:rPr>
          <w:i w:val="0"/>
          <w:iCs w:val="0"/>
        </w:rPr>
        <w:t>14</w:t>
      </w:r>
      <w:r>
        <w:rPr>
          <w:i w:val="0"/>
          <w:iCs w:val="0"/>
        </w:rPr>
        <w:fldChar w:fldCharType="end"/>
      </w:r>
      <w:r>
        <w:rPr>
          <w:i w:val="0"/>
          <w:iCs w:val="0"/>
          <w:szCs w:val="32"/>
        </w:rPr>
        <w:fldChar w:fldCharType="end"/>
      </w:r>
    </w:p>
    <w:p>
      <w:pPr>
        <w:pStyle w:val="18"/>
        <w:tabs>
          <w:tab w:val="right" w:leader="dot" w:pos="8313"/>
          <w:tab w:val="clear" w:pos="1440"/>
          <w:tab w:val="clear" w:pos="8303"/>
        </w:tabs>
        <w:rPr>
          <w:i w:val="0"/>
          <w:iCs w:val="0"/>
        </w:rPr>
      </w:pPr>
      <w:r>
        <w:rPr>
          <w:i w:val="0"/>
          <w:iCs w:val="0"/>
          <w:szCs w:val="32"/>
        </w:rPr>
        <w:fldChar w:fldCharType="begin"/>
      </w:r>
      <w:r>
        <w:rPr>
          <w:i w:val="0"/>
          <w:iCs w:val="0"/>
          <w:szCs w:val="32"/>
        </w:rPr>
        <w:instrText xml:space="preserve"> HYPERLINK \l _Toc6388 </w:instrText>
      </w:r>
      <w:r>
        <w:rPr>
          <w:i w:val="0"/>
          <w:iCs w:val="0"/>
          <w:szCs w:val="32"/>
        </w:rPr>
        <w:fldChar w:fldCharType="separate"/>
      </w:r>
      <w:r>
        <w:rPr>
          <w:rFonts w:hint="eastAsia" w:ascii="楷体" w:hAnsi="楷体" w:eastAsia="楷体" w:cs="楷体"/>
          <w:bCs/>
          <w:i w:val="0"/>
          <w:iCs w:val="0"/>
          <w:kern w:val="2"/>
        </w:rPr>
        <w:t xml:space="preserve">（四） </w:t>
      </w:r>
      <w:r>
        <w:rPr>
          <w:rFonts w:hint="eastAsia" w:ascii="楷体" w:hAnsi="楷体" w:eastAsia="楷体" w:cs="楷体"/>
          <w:bCs/>
          <w:i w:val="0"/>
          <w:iCs w:val="0"/>
          <w:kern w:val="2"/>
        </w:rPr>
        <w:t>加强充电基础设施供电保障</w:t>
      </w:r>
      <w:r>
        <w:rPr>
          <w:i w:val="0"/>
          <w:iCs w:val="0"/>
        </w:rPr>
        <w:tab/>
      </w:r>
      <w:r>
        <w:rPr>
          <w:i w:val="0"/>
          <w:iCs w:val="0"/>
        </w:rPr>
        <w:fldChar w:fldCharType="begin"/>
      </w:r>
      <w:r>
        <w:rPr>
          <w:i w:val="0"/>
          <w:iCs w:val="0"/>
        </w:rPr>
        <w:instrText xml:space="preserve"> PAGEREF _Toc6388 </w:instrText>
      </w:r>
      <w:r>
        <w:rPr>
          <w:i w:val="0"/>
          <w:iCs w:val="0"/>
        </w:rPr>
        <w:fldChar w:fldCharType="separate"/>
      </w:r>
      <w:r>
        <w:rPr>
          <w:i w:val="0"/>
          <w:iCs w:val="0"/>
        </w:rPr>
        <w:t>14</w:t>
      </w:r>
      <w:r>
        <w:rPr>
          <w:i w:val="0"/>
          <w:iCs w:val="0"/>
        </w:rPr>
        <w:fldChar w:fldCharType="end"/>
      </w:r>
      <w:r>
        <w:rPr>
          <w:i w:val="0"/>
          <w:iCs w:val="0"/>
          <w:szCs w:val="32"/>
        </w:rPr>
        <w:fldChar w:fldCharType="end"/>
      </w:r>
    </w:p>
    <w:p>
      <w:pPr>
        <w:pStyle w:val="18"/>
        <w:tabs>
          <w:tab w:val="right" w:leader="dot" w:pos="8313"/>
          <w:tab w:val="clear" w:pos="1440"/>
          <w:tab w:val="clear" w:pos="8303"/>
        </w:tabs>
        <w:rPr>
          <w:i w:val="0"/>
          <w:iCs w:val="0"/>
        </w:rPr>
      </w:pPr>
      <w:r>
        <w:rPr>
          <w:i w:val="0"/>
          <w:iCs w:val="0"/>
          <w:szCs w:val="32"/>
        </w:rPr>
        <w:fldChar w:fldCharType="begin"/>
      </w:r>
      <w:r>
        <w:rPr>
          <w:i w:val="0"/>
          <w:iCs w:val="0"/>
          <w:szCs w:val="32"/>
        </w:rPr>
        <w:instrText xml:space="preserve"> HYPERLINK \l _Toc22674 </w:instrText>
      </w:r>
      <w:r>
        <w:rPr>
          <w:i w:val="0"/>
          <w:iCs w:val="0"/>
          <w:szCs w:val="32"/>
        </w:rPr>
        <w:fldChar w:fldCharType="separate"/>
      </w:r>
      <w:r>
        <w:rPr>
          <w:rFonts w:hint="eastAsia" w:ascii="楷体" w:hAnsi="楷体" w:eastAsia="楷体" w:cs="楷体"/>
          <w:bCs/>
          <w:i w:val="0"/>
          <w:iCs w:val="0"/>
          <w:kern w:val="2"/>
        </w:rPr>
        <w:t xml:space="preserve">（五） </w:t>
      </w:r>
      <w:r>
        <w:rPr>
          <w:rFonts w:hint="eastAsia" w:ascii="楷体" w:hAnsi="楷体" w:eastAsia="楷体" w:cs="楷体"/>
          <w:bCs/>
          <w:i w:val="0"/>
          <w:iCs w:val="0"/>
          <w:kern w:val="2"/>
        </w:rPr>
        <w:t>健全充电基础设施建设标准</w:t>
      </w:r>
      <w:r>
        <w:rPr>
          <w:i w:val="0"/>
          <w:iCs w:val="0"/>
        </w:rPr>
        <w:tab/>
      </w:r>
      <w:r>
        <w:rPr>
          <w:i w:val="0"/>
          <w:iCs w:val="0"/>
        </w:rPr>
        <w:fldChar w:fldCharType="begin"/>
      </w:r>
      <w:r>
        <w:rPr>
          <w:i w:val="0"/>
          <w:iCs w:val="0"/>
        </w:rPr>
        <w:instrText xml:space="preserve"> PAGEREF _Toc22674 </w:instrText>
      </w:r>
      <w:r>
        <w:rPr>
          <w:i w:val="0"/>
          <w:iCs w:val="0"/>
        </w:rPr>
        <w:fldChar w:fldCharType="separate"/>
      </w:r>
      <w:r>
        <w:rPr>
          <w:i w:val="0"/>
          <w:iCs w:val="0"/>
        </w:rPr>
        <w:t>15</w:t>
      </w:r>
      <w:r>
        <w:rPr>
          <w:i w:val="0"/>
          <w:iCs w:val="0"/>
        </w:rPr>
        <w:fldChar w:fldCharType="end"/>
      </w:r>
      <w:r>
        <w:rPr>
          <w:i w:val="0"/>
          <w:iCs w:val="0"/>
          <w:szCs w:val="32"/>
        </w:rPr>
        <w:fldChar w:fldCharType="end"/>
      </w:r>
    </w:p>
    <w:p>
      <w:pPr>
        <w:pStyle w:val="18"/>
        <w:tabs>
          <w:tab w:val="right" w:leader="dot" w:pos="8313"/>
          <w:tab w:val="clear" w:pos="1440"/>
          <w:tab w:val="clear" w:pos="8303"/>
        </w:tabs>
        <w:rPr>
          <w:i w:val="0"/>
          <w:iCs w:val="0"/>
        </w:rPr>
      </w:pPr>
      <w:r>
        <w:rPr>
          <w:i w:val="0"/>
          <w:iCs w:val="0"/>
          <w:szCs w:val="32"/>
        </w:rPr>
        <w:fldChar w:fldCharType="begin"/>
      </w:r>
      <w:r>
        <w:rPr>
          <w:i w:val="0"/>
          <w:iCs w:val="0"/>
          <w:szCs w:val="32"/>
        </w:rPr>
        <w:instrText xml:space="preserve"> HYPERLINK \l _Toc13224 </w:instrText>
      </w:r>
      <w:r>
        <w:rPr>
          <w:i w:val="0"/>
          <w:iCs w:val="0"/>
          <w:szCs w:val="32"/>
        </w:rPr>
        <w:fldChar w:fldCharType="separate"/>
      </w:r>
      <w:r>
        <w:rPr>
          <w:rFonts w:hint="eastAsia" w:ascii="楷体" w:hAnsi="楷体" w:eastAsia="楷体" w:cs="楷体"/>
          <w:bCs/>
          <w:i w:val="0"/>
          <w:iCs w:val="0"/>
          <w:kern w:val="2"/>
        </w:rPr>
        <w:t xml:space="preserve">（六） </w:t>
      </w:r>
      <w:r>
        <w:rPr>
          <w:rFonts w:hint="eastAsia" w:ascii="楷体" w:hAnsi="楷体" w:eastAsia="楷体" w:cs="楷体"/>
          <w:bCs/>
          <w:i w:val="0"/>
          <w:iCs w:val="0"/>
          <w:kern w:val="2"/>
        </w:rPr>
        <w:t>探索发展新型商业模式</w:t>
      </w:r>
      <w:r>
        <w:rPr>
          <w:i w:val="0"/>
          <w:iCs w:val="0"/>
        </w:rPr>
        <w:tab/>
      </w:r>
      <w:r>
        <w:rPr>
          <w:i w:val="0"/>
          <w:iCs w:val="0"/>
        </w:rPr>
        <w:fldChar w:fldCharType="begin"/>
      </w:r>
      <w:r>
        <w:rPr>
          <w:i w:val="0"/>
          <w:iCs w:val="0"/>
        </w:rPr>
        <w:instrText xml:space="preserve"> PAGEREF _Toc13224 </w:instrText>
      </w:r>
      <w:r>
        <w:rPr>
          <w:i w:val="0"/>
          <w:iCs w:val="0"/>
        </w:rPr>
        <w:fldChar w:fldCharType="separate"/>
      </w:r>
      <w:r>
        <w:rPr>
          <w:i w:val="0"/>
          <w:iCs w:val="0"/>
        </w:rPr>
        <w:t>16</w:t>
      </w:r>
      <w:r>
        <w:rPr>
          <w:i w:val="0"/>
          <w:iCs w:val="0"/>
        </w:rPr>
        <w:fldChar w:fldCharType="end"/>
      </w:r>
      <w:r>
        <w:rPr>
          <w:i w:val="0"/>
          <w:iCs w:val="0"/>
          <w:szCs w:val="32"/>
        </w:rPr>
        <w:fldChar w:fldCharType="end"/>
      </w:r>
    </w:p>
    <w:p>
      <w:pPr>
        <w:pStyle w:val="18"/>
        <w:tabs>
          <w:tab w:val="right" w:leader="dot" w:pos="8313"/>
          <w:tab w:val="clear" w:pos="1440"/>
          <w:tab w:val="clear" w:pos="8303"/>
        </w:tabs>
        <w:rPr>
          <w:i w:val="0"/>
          <w:iCs w:val="0"/>
        </w:rPr>
      </w:pPr>
      <w:r>
        <w:rPr>
          <w:i w:val="0"/>
          <w:iCs w:val="0"/>
          <w:szCs w:val="32"/>
        </w:rPr>
        <w:fldChar w:fldCharType="begin"/>
      </w:r>
      <w:r>
        <w:rPr>
          <w:i w:val="0"/>
          <w:iCs w:val="0"/>
          <w:szCs w:val="32"/>
        </w:rPr>
        <w:instrText xml:space="preserve"> HYPERLINK \l _Toc7243 </w:instrText>
      </w:r>
      <w:r>
        <w:rPr>
          <w:i w:val="0"/>
          <w:iCs w:val="0"/>
          <w:szCs w:val="32"/>
        </w:rPr>
        <w:fldChar w:fldCharType="separate"/>
      </w:r>
      <w:r>
        <w:rPr>
          <w:rFonts w:hint="eastAsia" w:ascii="楷体" w:hAnsi="楷体" w:eastAsia="楷体" w:cs="楷体"/>
          <w:bCs/>
          <w:i w:val="0"/>
          <w:iCs w:val="0"/>
          <w:kern w:val="2"/>
        </w:rPr>
        <w:t xml:space="preserve">（七） </w:t>
      </w:r>
      <w:r>
        <w:rPr>
          <w:rFonts w:hint="eastAsia" w:ascii="楷体" w:hAnsi="楷体" w:eastAsia="楷体" w:cs="楷体"/>
          <w:bCs/>
          <w:i w:val="0"/>
          <w:iCs w:val="0"/>
          <w:kern w:val="2"/>
        </w:rPr>
        <w:t>优化完善运营服务体系</w:t>
      </w:r>
      <w:r>
        <w:rPr>
          <w:i w:val="0"/>
          <w:iCs w:val="0"/>
        </w:rPr>
        <w:tab/>
      </w:r>
      <w:r>
        <w:rPr>
          <w:i w:val="0"/>
          <w:iCs w:val="0"/>
        </w:rPr>
        <w:fldChar w:fldCharType="begin"/>
      </w:r>
      <w:r>
        <w:rPr>
          <w:i w:val="0"/>
          <w:iCs w:val="0"/>
        </w:rPr>
        <w:instrText xml:space="preserve"> PAGEREF _Toc7243 </w:instrText>
      </w:r>
      <w:r>
        <w:rPr>
          <w:i w:val="0"/>
          <w:iCs w:val="0"/>
        </w:rPr>
        <w:fldChar w:fldCharType="separate"/>
      </w:r>
      <w:r>
        <w:rPr>
          <w:i w:val="0"/>
          <w:iCs w:val="0"/>
        </w:rPr>
        <w:t>17</w:t>
      </w:r>
      <w:r>
        <w:rPr>
          <w:i w:val="0"/>
          <w:iCs w:val="0"/>
        </w:rPr>
        <w:fldChar w:fldCharType="end"/>
      </w:r>
      <w:r>
        <w:rPr>
          <w:i w:val="0"/>
          <w:iCs w:val="0"/>
          <w:szCs w:val="32"/>
        </w:rPr>
        <w:fldChar w:fldCharType="end"/>
      </w:r>
    </w:p>
    <w:p>
      <w:pPr>
        <w:pStyle w:val="17"/>
        <w:tabs>
          <w:tab w:val="right" w:leader="dot" w:pos="8313"/>
        </w:tabs>
        <w:rPr>
          <w:i w:val="0"/>
          <w:iCs w:val="0"/>
        </w:rPr>
      </w:pPr>
      <w:r>
        <w:rPr>
          <w:i w:val="0"/>
          <w:iCs w:val="0"/>
          <w:szCs w:val="32"/>
        </w:rPr>
        <w:fldChar w:fldCharType="begin"/>
      </w:r>
      <w:r>
        <w:rPr>
          <w:i w:val="0"/>
          <w:iCs w:val="0"/>
          <w:szCs w:val="32"/>
        </w:rPr>
        <w:instrText xml:space="preserve"> HYPERLINK \l _Toc23967 </w:instrText>
      </w:r>
      <w:r>
        <w:rPr>
          <w:i w:val="0"/>
          <w:iCs w:val="0"/>
          <w:szCs w:val="32"/>
        </w:rPr>
        <w:fldChar w:fldCharType="separate"/>
      </w:r>
      <w:r>
        <w:rPr>
          <w:rFonts w:hint="eastAsia" w:ascii="黑体" w:hAnsi="黑体" w:eastAsia="黑体" w:cs="黑体"/>
          <w:bCs/>
          <w:i w:val="0"/>
          <w:iCs w:val="0"/>
          <w:szCs w:val="32"/>
        </w:rPr>
        <w:t xml:space="preserve">五、 </w:t>
      </w:r>
      <w:r>
        <w:rPr>
          <w:rFonts w:hint="eastAsia" w:ascii="黑体" w:hAnsi="黑体" w:eastAsia="黑体" w:cs="黑体"/>
          <w:bCs/>
          <w:i w:val="0"/>
          <w:iCs w:val="0"/>
          <w:szCs w:val="32"/>
        </w:rPr>
        <w:t>规划实施</w:t>
      </w:r>
      <w:r>
        <w:rPr>
          <w:i w:val="0"/>
          <w:iCs w:val="0"/>
        </w:rPr>
        <w:tab/>
      </w:r>
      <w:r>
        <w:rPr>
          <w:i w:val="0"/>
          <w:iCs w:val="0"/>
        </w:rPr>
        <w:fldChar w:fldCharType="begin"/>
      </w:r>
      <w:r>
        <w:rPr>
          <w:i w:val="0"/>
          <w:iCs w:val="0"/>
        </w:rPr>
        <w:instrText xml:space="preserve"> PAGEREF _Toc23967 </w:instrText>
      </w:r>
      <w:r>
        <w:rPr>
          <w:i w:val="0"/>
          <w:iCs w:val="0"/>
        </w:rPr>
        <w:fldChar w:fldCharType="separate"/>
      </w:r>
      <w:r>
        <w:rPr>
          <w:i w:val="0"/>
          <w:iCs w:val="0"/>
        </w:rPr>
        <w:t>18</w:t>
      </w:r>
      <w:r>
        <w:rPr>
          <w:i w:val="0"/>
          <w:iCs w:val="0"/>
        </w:rPr>
        <w:fldChar w:fldCharType="end"/>
      </w:r>
      <w:r>
        <w:rPr>
          <w:i w:val="0"/>
          <w:iCs w:val="0"/>
          <w:szCs w:val="32"/>
        </w:rPr>
        <w:fldChar w:fldCharType="end"/>
      </w:r>
    </w:p>
    <w:p>
      <w:pPr>
        <w:pStyle w:val="18"/>
        <w:tabs>
          <w:tab w:val="right" w:leader="dot" w:pos="8313"/>
          <w:tab w:val="clear" w:pos="1440"/>
          <w:tab w:val="clear" w:pos="8303"/>
        </w:tabs>
        <w:rPr>
          <w:i w:val="0"/>
          <w:iCs w:val="0"/>
        </w:rPr>
      </w:pPr>
      <w:r>
        <w:rPr>
          <w:i w:val="0"/>
          <w:iCs w:val="0"/>
          <w:szCs w:val="32"/>
        </w:rPr>
        <w:fldChar w:fldCharType="begin"/>
      </w:r>
      <w:r>
        <w:rPr>
          <w:i w:val="0"/>
          <w:iCs w:val="0"/>
          <w:szCs w:val="32"/>
        </w:rPr>
        <w:instrText xml:space="preserve"> HYPERLINK \l _Toc11541 </w:instrText>
      </w:r>
      <w:r>
        <w:rPr>
          <w:i w:val="0"/>
          <w:iCs w:val="0"/>
          <w:szCs w:val="32"/>
        </w:rPr>
        <w:fldChar w:fldCharType="separate"/>
      </w:r>
      <w:r>
        <w:rPr>
          <w:rFonts w:hint="eastAsia" w:ascii="楷体" w:hAnsi="楷体" w:eastAsia="楷体" w:cs="楷体"/>
          <w:bCs/>
          <w:i w:val="0"/>
          <w:iCs w:val="0"/>
          <w:kern w:val="2"/>
        </w:rPr>
        <w:t xml:space="preserve">（一） </w:t>
      </w:r>
      <w:r>
        <w:rPr>
          <w:rFonts w:hint="eastAsia" w:ascii="楷体" w:hAnsi="楷体" w:eastAsia="楷体" w:cs="楷体"/>
          <w:bCs/>
          <w:i w:val="0"/>
          <w:iCs w:val="0"/>
          <w:kern w:val="2"/>
        </w:rPr>
        <w:t>组织实施</w:t>
      </w:r>
      <w:r>
        <w:rPr>
          <w:i w:val="0"/>
          <w:iCs w:val="0"/>
        </w:rPr>
        <w:tab/>
      </w:r>
      <w:r>
        <w:rPr>
          <w:i w:val="0"/>
          <w:iCs w:val="0"/>
        </w:rPr>
        <w:fldChar w:fldCharType="begin"/>
      </w:r>
      <w:r>
        <w:rPr>
          <w:i w:val="0"/>
          <w:iCs w:val="0"/>
        </w:rPr>
        <w:instrText xml:space="preserve"> PAGEREF _Toc11541 </w:instrText>
      </w:r>
      <w:r>
        <w:rPr>
          <w:i w:val="0"/>
          <w:iCs w:val="0"/>
        </w:rPr>
        <w:fldChar w:fldCharType="separate"/>
      </w:r>
      <w:r>
        <w:rPr>
          <w:i w:val="0"/>
          <w:iCs w:val="0"/>
        </w:rPr>
        <w:t>18</w:t>
      </w:r>
      <w:r>
        <w:rPr>
          <w:i w:val="0"/>
          <w:iCs w:val="0"/>
        </w:rPr>
        <w:fldChar w:fldCharType="end"/>
      </w:r>
      <w:r>
        <w:rPr>
          <w:i w:val="0"/>
          <w:iCs w:val="0"/>
          <w:szCs w:val="32"/>
        </w:rPr>
        <w:fldChar w:fldCharType="end"/>
      </w:r>
    </w:p>
    <w:p>
      <w:pPr>
        <w:pStyle w:val="18"/>
        <w:tabs>
          <w:tab w:val="right" w:leader="dot" w:pos="8313"/>
          <w:tab w:val="clear" w:pos="1440"/>
          <w:tab w:val="clear" w:pos="8303"/>
        </w:tabs>
        <w:rPr>
          <w:i w:val="0"/>
          <w:iCs w:val="0"/>
        </w:rPr>
      </w:pPr>
      <w:r>
        <w:rPr>
          <w:i w:val="0"/>
          <w:iCs w:val="0"/>
          <w:szCs w:val="32"/>
        </w:rPr>
        <w:fldChar w:fldCharType="begin"/>
      </w:r>
      <w:r>
        <w:rPr>
          <w:i w:val="0"/>
          <w:iCs w:val="0"/>
          <w:szCs w:val="32"/>
        </w:rPr>
        <w:instrText xml:space="preserve"> HYPERLINK \l _Toc13521 </w:instrText>
      </w:r>
      <w:r>
        <w:rPr>
          <w:i w:val="0"/>
          <w:iCs w:val="0"/>
          <w:szCs w:val="32"/>
        </w:rPr>
        <w:fldChar w:fldCharType="separate"/>
      </w:r>
      <w:r>
        <w:rPr>
          <w:rFonts w:hint="eastAsia" w:ascii="楷体" w:hAnsi="楷体" w:eastAsia="楷体" w:cs="楷体"/>
          <w:bCs/>
          <w:i w:val="0"/>
          <w:iCs w:val="0"/>
          <w:kern w:val="2"/>
        </w:rPr>
        <w:t xml:space="preserve">（二） </w:t>
      </w:r>
      <w:r>
        <w:rPr>
          <w:rFonts w:hint="eastAsia" w:ascii="楷体" w:hAnsi="楷体" w:eastAsia="楷体" w:cs="楷体"/>
          <w:bCs/>
          <w:i w:val="0"/>
          <w:iCs w:val="0"/>
          <w:kern w:val="2"/>
        </w:rPr>
        <w:t>保障措施</w:t>
      </w:r>
      <w:r>
        <w:rPr>
          <w:i w:val="0"/>
          <w:iCs w:val="0"/>
        </w:rPr>
        <w:tab/>
      </w:r>
      <w:r>
        <w:rPr>
          <w:i w:val="0"/>
          <w:iCs w:val="0"/>
        </w:rPr>
        <w:fldChar w:fldCharType="begin"/>
      </w:r>
      <w:r>
        <w:rPr>
          <w:i w:val="0"/>
          <w:iCs w:val="0"/>
        </w:rPr>
        <w:instrText xml:space="preserve"> PAGEREF _Toc13521 </w:instrText>
      </w:r>
      <w:r>
        <w:rPr>
          <w:i w:val="0"/>
          <w:iCs w:val="0"/>
        </w:rPr>
        <w:fldChar w:fldCharType="separate"/>
      </w:r>
      <w:r>
        <w:rPr>
          <w:i w:val="0"/>
          <w:iCs w:val="0"/>
        </w:rPr>
        <w:t>19</w:t>
      </w:r>
      <w:r>
        <w:rPr>
          <w:i w:val="0"/>
          <w:iCs w:val="0"/>
        </w:rPr>
        <w:fldChar w:fldCharType="end"/>
      </w:r>
      <w:r>
        <w:rPr>
          <w:i w:val="0"/>
          <w:iCs w:val="0"/>
          <w:szCs w:val="32"/>
        </w:rPr>
        <w:fldChar w:fldCharType="end"/>
      </w:r>
    </w:p>
    <w:p>
      <w:pPr>
        <w:widowControl/>
        <w:spacing w:line="600" w:lineRule="exact"/>
        <w:rPr>
          <w:i w:val="0"/>
          <w:iCs w:val="0"/>
        </w:rPr>
        <w:sectPr>
          <w:headerReference r:id="rId3" w:type="default"/>
          <w:footerReference r:id="rId4" w:type="default"/>
          <w:footerReference r:id="rId5" w:type="even"/>
          <w:pgSz w:w="11907" w:h="16840"/>
          <w:pgMar w:top="1440" w:right="1797" w:bottom="1440" w:left="1797" w:header="851" w:footer="992" w:gutter="0"/>
          <w:pgNumType w:start="1"/>
          <w:cols w:space="720" w:num="1"/>
          <w:docGrid w:type="lines" w:linePitch="312" w:charSpace="0"/>
        </w:sectPr>
      </w:pPr>
      <w:r>
        <w:rPr>
          <w:i w:val="0"/>
          <w:iCs w:val="0"/>
          <w:sz w:val="32"/>
          <w:szCs w:val="32"/>
        </w:rPr>
        <w:fldChar w:fldCharType="end"/>
      </w:r>
    </w:p>
    <w:p>
      <w:pPr>
        <w:pStyle w:val="39"/>
        <w:spacing w:before="0" w:line="600" w:lineRule="exact"/>
        <w:ind w:firstLine="0"/>
        <w:jc w:val="center"/>
        <w:outlineLvl w:val="0"/>
        <w:rPr>
          <w:rFonts w:hint="eastAsia" w:ascii="黑体" w:hAnsi="黑体" w:eastAsia="黑体" w:cs="黑体"/>
          <w:b/>
          <w:bCs/>
          <w:szCs w:val="32"/>
        </w:rPr>
      </w:pPr>
      <w:bookmarkStart w:id="9" w:name="_Toc10188"/>
      <w:bookmarkStart w:id="10" w:name="_Toc30006"/>
      <w:bookmarkStart w:id="11" w:name="_Toc5263"/>
      <w:bookmarkStart w:id="12" w:name="_Toc82509843"/>
      <w:bookmarkStart w:id="13" w:name="_Toc58249249"/>
      <w:bookmarkStart w:id="14" w:name="_Toc315948789"/>
      <w:r>
        <w:rPr>
          <w:rFonts w:hint="eastAsia" w:ascii="黑体" w:hAnsi="黑体" w:eastAsia="黑体" w:cs="黑体"/>
          <w:b/>
          <w:bCs/>
          <w:szCs w:val="32"/>
        </w:rPr>
        <w:t>前言</w:t>
      </w:r>
      <w:bookmarkEnd w:id="9"/>
      <w:bookmarkEnd w:id="10"/>
      <w:bookmarkEnd w:id="11"/>
      <w:bookmarkEnd w:id="12"/>
      <w:bookmarkEnd w:id="13"/>
    </w:p>
    <w:p>
      <w:pPr>
        <w:pStyle w:val="39"/>
        <w:spacing w:before="0" w:line="600" w:lineRule="exact"/>
        <w:ind w:firstLine="640" w:firstLineChars="200"/>
        <w:rPr>
          <w:rFonts w:ascii="仿宋_GB2312" w:hAnsi="仿宋_GB2312" w:eastAsia="仿宋_GB2312" w:cs="仿宋_GB2312"/>
          <w:szCs w:val="32"/>
        </w:rPr>
      </w:pPr>
      <w:r>
        <w:rPr>
          <w:rFonts w:ascii="仿宋_GB2312" w:hAnsi="仿宋_GB2312" w:eastAsia="仿宋_GB2312" w:cs="仿宋_GB2312"/>
          <w:szCs w:val="32"/>
        </w:rPr>
        <w:t>在2021年</w:t>
      </w:r>
      <w:r>
        <w:rPr>
          <w:rFonts w:hint="eastAsia" w:ascii="仿宋_GB2312" w:hAnsi="仿宋_GB2312" w:eastAsia="仿宋_GB2312" w:cs="仿宋_GB2312"/>
          <w:szCs w:val="32"/>
          <w:lang w:val="en-US" w:eastAsia="zh-CN"/>
        </w:rPr>
        <w:t>全国“</w:t>
      </w:r>
      <w:r>
        <w:rPr>
          <w:rFonts w:ascii="仿宋_GB2312" w:hAnsi="仿宋_GB2312" w:eastAsia="仿宋_GB2312" w:cs="仿宋_GB2312"/>
          <w:szCs w:val="32"/>
        </w:rPr>
        <w:t>两会</w:t>
      </w:r>
      <w:r>
        <w:rPr>
          <w:rFonts w:hint="eastAsia" w:ascii="仿宋_GB2312" w:hAnsi="仿宋_GB2312" w:eastAsia="仿宋_GB2312" w:cs="仿宋_GB2312"/>
          <w:szCs w:val="32"/>
          <w:lang w:eastAsia="zh-CN"/>
        </w:rPr>
        <w:t>”</w:t>
      </w:r>
      <w:r>
        <w:rPr>
          <w:rFonts w:ascii="仿宋_GB2312" w:hAnsi="仿宋_GB2312" w:eastAsia="仿宋_GB2312" w:cs="仿宋_GB2312"/>
          <w:szCs w:val="32"/>
        </w:rPr>
        <w:t>上，“碳达峰、碳中和”首次写入政府工作报告，中央财经委员会第九次会议强调“要把碳达峰、碳中和纳入生态文明建设整体布局，如期实现双碳目标”。大力发展新能源汽车既是我国从汽车大国走向汽车强国的必由之路，也是加快能源消费领域深刻变革，推动能源战略与交通融合发展，积极应对气候变化，实现我国“碳达峰、碳中和”自主贡献目标的重要战略举措</w:t>
      </w:r>
      <w:r>
        <w:rPr>
          <w:rFonts w:hint="eastAsia" w:ascii="仿宋_GB2312" w:hAnsi="仿宋_GB2312" w:eastAsia="仿宋_GB2312" w:cs="仿宋_GB2312"/>
          <w:szCs w:val="32"/>
          <w:lang w:eastAsia="zh-CN"/>
        </w:rPr>
        <w:t>。</w:t>
      </w:r>
      <w:r>
        <w:rPr>
          <w:rFonts w:ascii="仿宋_GB2312" w:hAnsi="仿宋_GB2312" w:eastAsia="仿宋_GB2312" w:cs="仿宋_GB2312"/>
          <w:szCs w:val="32"/>
        </w:rPr>
        <w:t>构建城乡全覆盖的充电基础设施网络是落实国家战略任务的有力保障。</w:t>
      </w:r>
    </w:p>
    <w:p>
      <w:pPr>
        <w:pStyle w:val="39"/>
        <w:spacing w:before="0" w:line="60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近年来，广西加快新能源汽车产业发展，</w:t>
      </w:r>
      <w:r>
        <w:rPr>
          <w:rFonts w:ascii="仿宋_GB2312" w:hAnsi="仿宋_GB2312" w:eastAsia="仿宋_GB2312" w:cs="仿宋_GB2312"/>
          <w:szCs w:val="32"/>
        </w:rPr>
        <w:t>新能源汽车应用水平已迈入全国先进行列，充电基础设施覆盖区域迅速扩大，产业发展正处于加速“领跑”阶段。为积极</w:t>
      </w:r>
      <w:r>
        <w:rPr>
          <w:rFonts w:hint="eastAsia" w:ascii="仿宋_GB2312" w:hAnsi="仿宋_GB2312" w:eastAsia="仿宋_GB2312" w:cs="仿宋_GB2312"/>
          <w:szCs w:val="32"/>
          <w:lang w:val="en-US" w:eastAsia="zh-CN"/>
        </w:rPr>
        <w:t>落实</w:t>
      </w:r>
      <w:r>
        <w:rPr>
          <w:rFonts w:ascii="仿宋_GB2312" w:hAnsi="仿宋_GB2312" w:eastAsia="仿宋_GB2312" w:cs="仿宋_GB2312"/>
          <w:szCs w:val="32"/>
        </w:rPr>
        <w:t>国家加快推进新型基础设施建设的</w:t>
      </w:r>
      <w:r>
        <w:rPr>
          <w:rFonts w:hint="eastAsia" w:ascii="仿宋_GB2312" w:hAnsi="仿宋_GB2312" w:eastAsia="仿宋_GB2312" w:cs="仿宋_GB2312"/>
          <w:szCs w:val="32"/>
          <w:lang w:val="en-US" w:eastAsia="zh-CN"/>
        </w:rPr>
        <w:t>部署</w:t>
      </w:r>
      <w:r>
        <w:rPr>
          <w:rFonts w:ascii="仿宋_GB2312" w:hAnsi="仿宋_GB2312" w:eastAsia="仿宋_GB2312" w:cs="仿宋_GB2312"/>
          <w:szCs w:val="32"/>
        </w:rPr>
        <w:t>，贯彻落实《国家发展改革委</w:t>
      </w:r>
      <w:r>
        <w:rPr>
          <w:rFonts w:hint="eastAsia" w:ascii="仿宋_GB2312" w:hAnsi="仿宋_GB2312" w:eastAsia="仿宋_GB2312" w:cs="仿宋_GB2312"/>
          <w:szCs w:val="32"/>
          <w:lang w:val="en-US" w:eastAsia="zh-CN"/>
        </w:rPr>
        <w:t>国家能源局工业和信息化部财政部</w:t>
      </w:r>
      <w:r>
        <w:rPr>
          <w:rFonts w:ascii="仿宋_GB2312" w:hAnsi="仿宋_GB2312" w:eastAsia="仿宋_GB2312" w:cs="仿宋_GB2312"/>
          <w:szCs w:val="32"/>
        </w:rPr>
        <w:t>关于印发&lt;提升新能源汽车充电保障能力行动计划&gt;的通知》（发改能源〔2018〕1698号）等相关文件要求，进一步加快推进</w:t>
      </w:r>
      <w:r>
        <w:rPr>
          <w:rFonts w:hint="eastAsia" w:ascii="仿宋_GB2312" w:hAnsi="仿宋_GB2312" w:eastAsia="仿宋_GB2312" w:cs="仿宋_GB2312"/>
          <w:szCs w:val="32"/>
        </w:rPr>
        <w:t>我区</w:t>
      </w:r>
      <w:r>
        <w:rPr>
          <w:rFonts w:ascii="仿宋_GB2312" w:hAnsi="仿宋_GB2312" w:eastAsia="仿宋_GB2312" w:cs="仿宋_GB2312"/>
          <w:szCs w:val="32"/>
        </w:rPr>
        <w:t>充电基础设施建设，支撑我区新能源及智能汽车产业加快</w:t>
      </w:r>
      <w:r>
        <w:rPr>
          <w:rFonts w:hint="eastAsia" w:ascii="仿宋_GB2312" w:hAnsi="仿宋_GB2312" w:eastAsia="仿宋_GB2312" w:cs="仿宋_GB2312"/>
          <w:szCs w:val="32"/>
        </w:rPr>
        <w:t>发展</w:t>
      </w:r>
      <w:r>
        <w:rPr>
          <w:rFonts w:ascii="仿宋_GB2312" w:hAnsi="仿宋_GB2312" w:eastAsia="仿宋_GB2312" w:cs="仿宋_GB2312"/>
          <w:szCs w:val="32"/>
        </w:rPr>
        <w:t>壮大，加快</w:t>
      </w:r>
      <w:r>
        <w:rPr>
          <w:rFonts w:hint="eastAsia" w:ascii="仿宋_GB2312" w:hAnsi="仿宋_GB2312" w:eastAsia="仿宋_GB2312" w:cs="仿宋_GB2312"/>
          <w:szCs w:val="32"/>
          <w:lang w:val="en-US" w:eastAsia="zh-CN"/>
        </w:rPr>
        <w:t>提升</w:t>
      </w:r>
      <w:r>
        <w:rPr>
          <w:rFonts w:ascii="仿宋_GB2312" w:hAnsi="仿宋_GB2312" w:eastAsia="仿宋_GB2312" w:cs="仿宋_GB2312"/>
          <w:szCs w:val="32"/>
        </w:rPr>
        <w:t>新型基础设施建设服务水平，方便城乡居民出行，助力实现我区</w:t>
      </w:r>
      <w:r>
        <w:rPr>
          <w:rFonts w:hint="eastAsia" w:ascii="仿宋_GB2312" w:hAnsi="仿宋_GB2312" w:eastAsia="仿宋_GB2312" w:cs="仿宋_GB2312"/>
          <w:szCs w:val="32"/>
          <w:lang w:eastAsia="zh-CN"/>
        </w:rPr>
        <w:t>“碳达峰、碳中和”</w:t>
      </w:r>
      <w:r>
        <w:rPr>
          <w:rFonts w:ascii="仿宋_GB2312" w:hAnsi="仿宋_GB2312" w:eastAsia="仿宋_GB2312" w:cs="仿宋_GB2312"/>
          <w:szCs w:val="32"/>
        </w:rPr>
        <w:t>目标，</w:t>
      </w:r>
      <w:r>
        <w:rPr>
          <w:rFonts w:hint="eastAsia" w:ascii="仿宋_GB2312" w:hAnsi="仿宋_GB2312" w:eastAsia="仿宋_GB2312" w:cs="仿宋_GB2312"/>
          <w:szCs w:val="32"/>
        </w:rPr>
        <w:t>按照《广西壮族自治区国民经济和社会发展第十四个五年规划和2035年远景目标纲要》要求，结合</w:t>
      </w:r>
      <w:r>
        <w:rPr>
          <w:rFonts w:ascii="仿宋_GB2312" w:hAnsi="仿宋_GB2312" w:eastAsia="仿宋_GB2312" w:cs="仿宋_GB2312"/>
          <w:szCs w:val="32"/>
        </w:rPr>
        <w:t>《</w:t>
      </w:r>
      <w:r>
        <w:rPr>
          <w:rFonts w:hint="eastAsia" w:ascii="仿宋_GB2312" w:hAnsi="仿宋_GB2312" w:eastAsia="仿宋_GB2312" w:cs="仿宋_GB2312"/>
          <w:szCs w:val="32"/>
          <w:lang w:val="en-US" w:eastAsia="zh-CN"/>
        </w:rPr>
        <w:t>广西壮族自治区人民政府办公厅关于转发自治区发展改革委</w:t>
      </w:r>
      <w:r>
        <w:rPr>
          <w:rFonts w:ascii="仿宋_GB2312" w:hAnsi="仿宋_GB2312" w:eastAsia="仿宋_GB2312" w:cs="仿宋_GB2312"/>
          <w:szCs w:val="32"/>
        </w:rPr>
        <w:t>广西新能源汽车推广应用三年行动计划</w:t>
      </w:r>
      <w:r>
        <w:rPr>
          <w:rFonts w:hint="eastAsia" w:ascii="仿宋_GB2312" w:hAnsi="仿宋_GB2312" w:eastAsia="仿宋_GB2312" w:cs="仿宋_GB2312"/>
          <w:szCs w:val="32"/>
          <w:lang w:val="en-US" w:eastAsia="zh-CN"/>
        </w:rPr>
        <w:t>的通知</w:t>
      </w:r>
      <w:r>
        <w:rPr>
          <w:rFonts w:ascii="仿宋_GB2312" w:hAnsi="仿宋_GB2312" w:eastAsia="仿宋_GB2312" w:cs="仿宋_GB2312"/>
          <w:szCs w:val="32"/>
        </w:rPr>
        <w:t>》（桂政办函〔</w:t>
      </w:r>
      <w:r>
        <w:rPr>
          <w:rFonts w:hint="eastAsia" w:ascii="仿宋_GB2312" w:hAnsi="仿宋_GB2312" w:eastAsia="仿宋_GB2312" w:cs="仿宋_GB2312"/>
          <w:szCs w:val="32"/>
        </w:rPr>
        <w:t>2021</w:t>
      </w:r>
      <w:r>
        <w:rPr>
          <w:rFonts w:ascii="仿宋_GB2312" w:hAnsi="仿宋_GB2312" w:eastAsia="仿宋_GB2312" w:cs="仿宋_GB2312"/>
          <w:szCs w:val="32"/>
        </w:rPr>
        <w:t>〕7号）及我区新能源汽车产业发展新形势，制定本规划。</w:t>
      </w:r>
      <w:r>
        <w:rPr>
          <w:rFonts w:hint="eastAsia" w:ascii="仿宋_GB2312" w:hAnsi="仿宋_GB2312" w:eastAsia="仿宋_GB2312" w:cs="仿宋_GB2312"/>
          <w:szCs w:val="32"/>
        </w:rPr>
        <w:t>规划年限为2021</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2025年。</w:t>
      </w:r>
    </w:p>
    <w:p>
      <w:pPr>
        <w:pStyle w:val="39"/>
        <w:numPr>
          <w:ilvl w:val="0"/>
          <w:numId w:val="1"/>
        </w:numPr>
        <w:spacing w:before="0" w:line="600" w:lineRule="exact"/>
        <w:ind w:firstLine="643" w:firstLineChars="200"/>
        <w:outlineLvl w:val="0"/>
        <w:rPr>
          <w:rFonts w:hint="eastAsia" w:ascii="黑体" w:hAnsi="黑体" w:eastAsia="黑体" w:cs="黑体"/>
          <w:b/>
          <w:bCs/>
          <w:szCs w:val="32"/>
        </w:rPr>
      </w:pPr>
      <w:bookmarkStart w:id="15" w:name="_Toc1213"/>
      <w:bookmarkStart w:id="16" w:name="_Toc82509844"/>
      <w:bookmarkStart w:id="17" w:name="_Toc12757"/>
      <w:bookmarkStart w:id="18" w:name="_Toc6880"/>
      <w:bookmarkStart w:id="19" w:name="_Toc58249252"/>
      <w:r>
        <w:rPr>
          <w:rFonts w:hint="eastAsia" w:ascii="黑体" w:hAnsi="黑体" w:eastAsia="黑体" w:cs="黑体"/>
          <w:b/>
          <w:bCs/>
          <w:szCs w:val="32"/>
        </w:rPr>
        <w:t>发展现状</w:t>
      </w:r>
      <w:bookmarkEnd w:id="15"/>
      <w:bookmarkEnd w:id="16"/>
      <w:bookmarkEnd w:id="17"/>
      <w:bookmarkEnd w:id="18"/>
      <w:bookmarkEnd w:id="19"/>
    </w:p>
    <w:p>
      <w:pPr>
        <w:pStyle w:val="4"/>
        <w:widowControl w:val="0"/>
        <w:numPr>
          <w:ilvl w:val="0"/>
          <w:numId w:val="2"/>
        </w:numPr>
        <w:spacing w:before="0" w:after="0" w:line="600" w:lineRule="exact"/>
        <w:ind w:firstLine="643" w:firstLineChars="200"/>
        <w:jc w:val="both"/>
        <w:rPr>
          <w:rFonts w:hint="eastAsia" w:ascii="楷体" w:hAnsi="楷体" w:eastAsia="楷体" w:cs="楷体"/>
          <w:bCs w:val="0"/>
          <w:kern w:val="2"/>
        </w:rPr>
      </w:pPr>
      <w:bookmarkStart w:id="20" w:name="_Toc18436"/>
      <w:bookmarkStart w:id="21" w:name="_Toc82509845"/>
      <w:bookmarkStart w:id="22" w:name="_Toc12543"/>
      <w:bookmarkStart w:id="23" w:name="_Toc18449"/>
      <w:bookmarkStart w:id="24" w:name="_Toc58249253"/>
      <w:r>
        <w:rPr>
          <w:rFonts w:hint="eastAsia" w:ascii="楷体" w:hAnsi="楷体" w:eastAsia="楷体" w:cs="楷体"/>
          <w:bCs w:val="0"/>
          <w:kern w:val="2"/>
        </w:rPr>
        <w:t>新能源汽车推广应用现状</w:t>
      </w:r>
      <w:bookmarkEnd w:id="20"/>
      <w:bookmarkEnd w:id="21"/>
      <w:bookmarkEnd w:id="22"/>
      <w:bookmarkEnd w:id="23"/>
      <w:bookmarkEnd w:id="24"/>
    </w:p>
    <w:p>
      <w:pPr>
        <w:pStyle w:val="39"/>
        <w:spacing w:before="0" w:line="600" w:lineRule="exact"/>
        <w:ind w:firstLine="640" w:firstLineChars="200"/>
        <w:rPr>
          <w:rFonts w:hint="eastAsia" w:ascii="仿宋_GB2312" w:hAnsi="仿宋_GB2312" w:eastAsia="仿宋_GB2312" w:cs="仿宋_GB2312"/>
          <w:szCs w:val="32"/>
        </w:rPr>
      </w:pPr>
      <w:r>
        <w:rPr>
          <w:rFonts w:ascii="仿宋_GB2312" w:hAnsi="仿宋_GB2312" w:eastAsia="仿宋_GB2312" w:cs="仿宋_GB2312"/>
          <w:szCs w:val="32"/>
        </w:rPr>
        <w:t>“十三五”以来，</w:t>
      </w:r>
      <w:r>
        <w:rPr>
          <w:rFonts w:hint="eastAsia" w:ascii="仿宋_GB2312" w:hAnsi="仿宋_GB2312" w:eastAsia="仿宋_GB2312" w:cs="仿宋_GB2312"/>
          <w:szCs w:val="32"/>
          <w:lang w:val="en-US" w:eastAsia="zh-CN"/>
        </w:rPr>
        <w:t>我区</w:t>
      </w:r>
      <w:r>
        <w:rPr>
          <w:rFonts w:ascii="仿宋_GB2312" w:hAnsi="仿宋_GB2312" w:eastAsia="仿宋_GB2312" w:cs="仿宋_GB2312"/>
          <w:szCs w:val="32"/>
        </w:rPr>
        <w:t>新能源汽车推广应用取得积极成效</w:t>
      </w:r>
      <w:r>
        <w:rPr>
          <w:rFonts w:hint="eastAsia" w:ascii="仿宋_GB2312" w:hAnsi="仿宋_GB2312" w:eastAsia="仿宋_GB2312" w:cs="仿宋_GB2312"/>
          <w:szCs w:val="32"/>
        </w:rPr>
        <w:t>，特别是新能源汽车推广应用攻坚行动开展以来，新能源汽车保有量快速增长。</w:t>
      </w:r>
      <w:r>
        <w:rPr>
          <w:rFonts w:ascii="仿宋_GB2312" w:hAnsi="仿宋_GB2312" w:eastAsia="仿宋_GB2312" w:cs="仿宋_GB2312"/>
          <w:szCs w:val="32"/>
        </w:rPr>
        <w:t>截至2020年</w:t>
      </w:r>
      <w:r>
        <w:rPr>
          <w:rFonts w:hint="eastAsia" w:ascii="仿宋_GB2312" w:hAnsi="仿宋_GB2312" w:eastAsia="仿宋_GB2312" w:cs="仿宋_GB2312"/>
          <w:szCs w:val="32"/>
        </w:rPr>
        <w:t>底，</w:t>
      </w:r>
      <w:r>
        <w:rPr>
          <w:rFonts w:hint="eastAsia" w:ascii="仿宋_GB2312" w:hAnsi="仿宋_GB2312" w:eastAsia="仿宋_GB2312" w:cs="仿宋_GB2312"/>
          <w:szCs w:val="32"/>
          <w:lang w:val="en-US" w:eastAsia="zh-CN"/>
        </w:rPr>
        <w:t>我区</w:t>
      </w:r>
      <w:r>
        <w:rPr>
          <w:rFonts w:hint="eastAsia" w:ascii="仿宋_GB2312" w:hAnsi="仿宋_GB2312" w:eastAsia="仿宋_GB2312" w:cs="仿宋_GB2312"/>
          <w:szCs w:val="32"/>
        </w:rPr>
        <w:t>新能源</w:t>
      </w:r>
      <w:r>
        <w:rPr>
          <w:rFonts w:ascii="仿宋_GB2312" w:hAnsi="仿宋_GB2312" w:eastAsia="仿宋_GB2312" w:cs="仿宋_GB2312"/>
          <w:szCs w:val="32"/>
        </w:rPr>
        <w:t>汽车</w:t>
      </w:r>
      <w:r>
        <w:rPr>
          <w:rFonts w:hint="eastAsia" w:ascii="仿宋_GB2312" w:hAnsi="仿宋_GB2312" w:eastAsia="仿宋_GB2312" w:cs="仿宋_GB2312"/>
          <w:szCs w:val="32"/>
          <w:lang w:val="en-US" w:eastAsia="zh-CN"/>
        </w:rPr>
        <w:t>累计推广应用</w:t>
      </w:r>
      <w:r>
        <w:rPr>
          <w:rFonts w:ascii="仿宋_GB2312" w:hAnsi="仿宋_GB2312" w:eastAsia="仿宋_GB2312" w:cs="仿宋_GB2312"/>
          <w:szCs w:val="32"/>
        </w:rPr>
        <w:t>15.</w:t>
      </w:r>
      <w:r>
        <w:rPr>
          <w:rFonts w:hint="eastAsia" w:ascii="仿宋_GB2312" w:hAnsi="仿宋_GB2312" w:eastAsia="仿宋_GB2312" w:cs="仿宋_GB2312"/>
          <w:szCs w:val="32"/>
        </w:rPr>
        <w:t>69</w:t>
      </w:r>
      <w:r>
        <w:rPr>
          <w:rFonts w:ascii="仿宋_GB2312" w:hAnsi="仿宋_GB2312" w:eastAsia="仿宋_GB2312" w:cs="仿宋_GB2312"/>
          <w:szCs w:val="32"/>
        </w:rPr>
        <w:t>万辆，</w:t>
      </w:r>
      <w:r>
        <w:rPr>
          <w:rFonts w:hint="eastAsia" w:ascii="仿宋_GB2312" w:hAnsi="仿宋_GB2312" w:eastAsia="仿宋_GB2312" w:cs="仿宋_GB2312"/>
          <w:szCs w:val="32"/>
        </w:rPr>
        <w:t>新能源</w:t>
      </w:r>
      <w:r>
        <w:rPr>
          <w:rFonts w:ascii="仿宋_GB2312" w:hAnsi="仿宋_GB2312" w:eastAsia="仿宋_GB2312" w:cs="仿宋_GB2312"/>
          <w:szCs w:val="32"/>
        </w:rPr>
        <w:t>汽车</w:t>
      </w:r>
      <w:r>
        <w:rPr>
          <w:rFonts w:hint="eastAsia" w:ascii="仿宋_GB2312" w:hAnsi="仿宋_GB2312" w:eastAsia="仿宋_GB2312" w:cs="仿宋_GB2312"/>
          <w:szCs w:val="32"/>
        </w:rPr>
        <w:t>保有量</w:t>
      </w:r>
      <w:r>
        <w:rPr>
          <w:rFonts w:hint="eastAsia" w:ascii="仿宋_GB2312" w:hAnsi="仿宋_GB2312" w:eastAsia="仿宋_GB2312" w:cs="仿宋_GB2312"/>
          <w:szCs w:val="32"/>
          <w:lang w:val="en-US" w:eastAsia="zh-CN"/>
        </w:rPr>
        <w:t>占</w:t>
      </w:r>
      <w:r>
        <w:rPr>
          <w:rFonts w:hint="eastAsia" w:ascii="仿宋_GB2312" w:hAnsi="仿宋_GB2312" w:eastAsia="仿宋_GB2312" w:cs="仿宋_GB2312"/>
          <w:szCs w:val="32"/>
        </w:rPr>
        <w:t>全区</w:t>
      </w:r>
      <w:r>
        <w:rPr>
          <w:rFonts w:ascii="仿宋_GB2312" w:hAnsi="仿宋_GB2312" w:eastAsia="仿宋_GB2312" w:cs="仿宋_GB2312"/>
          <w:szCs w:val="32"/>
        </w:rPr>
        <w:t>汽车保有量</w:t>
      </w:r>
      <w:r>
        <w:rPr>
          <w:rFonts w:hint="eastAsia" w:ascii="仿宋_GB2312" w:hAnsi="仿宋_GB2312" w:eastAsia="仿宋_GB2312" w:cs="仿宋_GB2312"/>
          <w:szCs w:val="32"/>
        </w:rPr>
        <w:t>的</w:t>
      </w:r>
      <w:r>
        <w:rPr>
          <w:rFonts w:ascii="仿宋_GB2312" w:hAnsi="仿宋_GB2312" w:eastAsia="仿宋_GB2312" w:cs="仿宋_GB2312"/>
          <w:szCs w:val="32"/>
        </w:rPr>
        <w:t>2.</w:t>
      </w:r>
      <w:r>
        <w:rPr>
          <w:rFonts w:hint="eastAsia" w:ascii="仿宋_GB2312" w:hAnsi="仿宋_GB2312" w:eastAsia="仿宋_GB2312" w:cs="仿宋_GB2312"/>
          <w:szCs w:val="32"/>
          <w:lang w:val="en-US" w:eastAsia="zh-CN"/>
        </w:rPr>
        <w:t>1</w:t>
      </w:r>
      <w:r>
        <w:rPr>
          <w:rFonts w:ascii="仿宋_GB2312" w:hAnsi="仿宋_GB2312" w:eastAsia="仿宋_GB2312" w:cs="仿宋_GB2312"/>
          <w:szCs w:val="32"/>
        </w:rPr>
        <w:t>%，</w:t>
      </w:r>
      <w:r>
        <w:rPr>
          <w:rFonts w:hint="eastAsia" w:ascii="仿宋_GB2312" w:hAnsi="仿宋_GB2312" w:eastAsia="仿宋_GB2312" w:cs="仿宋_GB2312"/>
          <w:szCs w:val="32"/>
        </w:rPr>
        <w:t>高于</w:t>
      </w:r>
      <w:r>
        <w:rPr>
          <w:rFonts w:ascii="仿宋_GB2312" w:hAnsi="仿宋_GB2312" w:eastAsia="仿宋_GB2312" w:cs="仿宋_GB2312"/>
          <w:szCs w:val="32"/>
        </w:rPr>
        <w:t>1.75%</w:t>
      </w:r>
      <w:r>
        <w:rPr>
          <w:rFonts w:hint="eastAsia" w:ascii="仿宋_GB2312" w:hAnsi="仿宋_GB2312" w:eastAsia="仿宋_GB2312" w:cs="仿宋_GB2312"/>
          <w:szCs w:val="32"/>
        </w:rPr>
        <w:t>的</w:t>
      </w:r>
      <w:r>
        <w:rPr>
          <w:rFonts w:ascii="仿宋_GB2312" w:hAnsi="仿宋_GB2312" w:eastAsia="仿宋_GB2312" w:cs="仿宋_GB2312"/>
          <w:szCs w:val="32"/>
        </w:rPr>
        <w:t>全国平均水平。</w:t>
      </w:r>
      <w:r>
        <w:rPr>
          <w:rFonts w:hint="eastAsia" w:ascii="仿宋_GB2312" w:hAnsi="仿宋_GB2312" w:eastAsia="仿宋_GB2312" w:cs="仿宋_GB2312"/>
          <w:szCs w:val="32"/>
        </w:rPr>
        <w:t>按照《广西壮族自治区新能源汽车推广应用攻坚行动方案》提出的新能源</w:t>
      </w:r>
      <w:r>
        <w:rPr>
          <w:rFonts w:ascii="仿宋_GB2312" w:hAnsi="仿宋_GB2312" w:eastAsia="仿宋_GB2312" w:cs="仿宋_GB2312"/>
          <w:szCs w:val="32"/>
        </w:rPr>
        <w:t>汽车推广</w:t>
      </w:r>
      <w:r>
        <w:rPr>
          <w:rFonts w:hint="eastAsia" w:ascii="仿宋_GB2312" w:hAnsi="仿宋_GB2312" w:eastAsia="仿宋_GB2312" w:cs="仿宋_GB2312"/>
          <w:szCs w:val="32"/>
          <w:lang w:val="en-US" w:eastAsia="zh-CN"/>
        </w:rPr>
        <w:t>应用</w:t>
      </w:r>
      <w:r>
        <w:rPr>
          <w:rFonts w:ascii="仿宋_GB2312" w:hAnsi="仿宋_GB2312" w:eastAsia="仿宋_GB2312" w:cs="仿宋_GB2312"/>
          <w:szCs w:val="32"/>
        </w:rPr>
        <w:t>目标</w:t>
      </w:r>
      <w:r>
        <w:rPr>
          <w:rFonts w:hint="eastAsia" w:ascii="仿宋_GB2312" w:hAnsi="仿宋_GB2312" w:eastAsia="仿宋_GB2312" w:cs="仿宋_GB2312"/>
          <w:szCs w:val="32"/>
        </w:rPr>
        <w:t>，从2019年10月至2020年</w:t>
      </w:r>
      <w:r>
        <w:rPr>
          <w:rFonts w:ascii="仿宋_GB2312" w:hAnsi="仿宋_GB2312" w:eastAsia="仿宋_GB2312" w:cs="仿宋_GB2312"/>
          <w:szCs w:val="32"/>
        </w:rPr>
        <w:t>底，广西</w:t>
      </w:r>
      <w:r>
        <w:rPr>
          <w:rFonts w:hint="eastAsia" w:ascii="仿宋_GB2312" w:hAnsi="仿宋_GB2312" w:eastAsia="仿宋_GB2312" w:cs="仿宋_GB2312"/>
          <w:szCs w:val="32"/>
        </w:rPr>
        <w:t>计划</w:t>
      </w:r>
      <w:r>
        <w:rPr>
          <w:rFonts w:ascii="仿宋_GB2312" w:hAnsi="仿宋_GB2312" w:eastAsia="仿宋_GB2312" w:cs="仿宋_GB2312"/>
          <w:szCs w:val="32"/>
        </w:rPr>
        <w:t>新增新能源汽车</w:t>
      </w:r>
      <w:r>
        <w:rPr>
          <w:rFonts w:hint="eastAsia" w:ascii="仿宋_GB2312" w:hAnsi="仿宋_GB2312" w:eastAsia="仿宋_GB2312" w:cs="仿宋_GB2312"/>
          <w:szCs w:val="32"/>
        </w:rPr>
        <w:t>7.5</w:t>
      </w:r>
      <w:r>
        <w:rPr>
          <w:rFonts w:ascii="仿宋_GB2312" w:hAnsi="仿宋_GB2312" w:eastAsia="仿宋_GB2312" w:cs="仿宋_GB2312"/>
          <w:szCs w:val="32"/>
        </w:rPr>
        <w:t>2</w:t>
      </w:r>
      <w:r>
        <w:rPr>
          <w:rFonts w:hint="eastAsia" w:ascii="仿宋_GB2312" w:hAnsi="仿宋_GB2312" w:eastAsia="仿宋_GB2312" w:cs="仿宋_GB2312"/>
          <w:szCs w:val="32"/>
        </w:rPr>
        <w:t>万辆</w:t>
      </w:r>
      <w:r>
        <w:rPr>
          <w:rFonts w:ascii="仿宋_GB2312" w:hAnsi="仿宋_GB2312" w:eastAsia="仿宋_GB2312" w:cs="仿宋_GB2312"/>
          <w:szCs w:val="32"/>
        </w:rPr>
        <w:t>，</w:t>
      </w:r>
      <w:r>
        <w:rPr>
          <w:rFonts w:hint="eastAsia" w:ascii="仿宋_GB2312" w:hAnsi="仿宋_GB2312" w:eastAsia="仿宋_GB2312" w:cs="仿宋_GB2312"/>
          <w:szCs w:val="32"/>
        </w:rPr>
        <w:t>实际新增8</w:t>
      </w:r>
      <w:r>
        <w:rPr>
          <w:rFonts w:ascii="仿宋_GB2312" w:hAnsi="仿宋_GB2312" w:eastAsia="仿宋_GB2312" w:cs="仿宋_GB2312"/>
          <w:szCs w:val="32"/>
        </w:rPr>
        <w:t>.</w:t>
      </w:r>
      <w:r>
        <w:rPr>
          <w:rFonts w:hint="eastAsia" w:ascii="仿宋_GB2312" w:hAnsi="仿宋_GB2312" w:eastAsia="仿宋_GB2312" w:cs="仿宋_GB2312"/>
          <w:szCs w:val="32"/>
        </w:rPr>
        <w:t>37万辆，完成率达到</w:t>
      </w:r>
      <w:r>
        <w:rPr>
          <w:rFonts w:ascii="仿宋_GB2312" w:hAnsi="仿宋_GB2312" w:eastAsia="仿宋_GB2312" w:cs="仿宋_GB2312"/>
          <w:szCs w:val="32"/>
        </w:rPr>
        <w:t>1</w:t>
      </w:r>
      <w:r>
        <w:rPr>
          <w:rFonts w:hint="eastAsia" w:ascii="仿宋_GB2312" w:hAnsi="仿宋_GB2312" w:eastAsia="仿宋_GB2312" w:cs="仿宋_GB2312"/>
          <w:szCs w:val="32"/>
        </w:rPr>
        <w:t>11.3</w:t>
      </w:r>
      <w:r>
        <w:rPr>
          <w:rFonts w:ascii="仿宋_GB2312" w:hAnsi="仿宋_GB2312" w:eastAsia="仿宋_GB2312" w:cs="仿宋_GB2312"/>
          <w:szCs w:val="32"/>
        </w:rPr>
        <w:t>%</w:t>
      </w:r>
      <w:r>
        <w:rPr>
          <w:rFonts w:hint="default" w:ascii="仿宋_GB2312" w:hAnsi="仿宋_GB2312" w:eastAsia="仿宋_GB2312" w:cs="仿宋_GB2312"/>
          <w:szCs w:val="32"/>
          <w:lang w:eastAsia="zh-CN"/>
        </w:rPr>
        <w:t>，</w:t>
      </w:r>
      <w:r>
        <w:rPr>
          <w:rFonts w:hint="eastAsia" w:ascii="仿宋_GB2312" w:hAnsi="仿宋_GB2312" w:eastAsia="仿宋_GB2312" w:cs="仿宋_GB2312"/>
          <w:szCs w:val="32"/>
        </w:rPr>
        <w:t>其中</w:t>
      </w:r>
      <w:r>
        <w:rPr>
          <w:rFonts w:ascii="仿宋_GB2312" w:hAnsi="仿宋_GB2312" w:eastAsia="仿宋_GB2312" w:cs="仿宋_GB2312"/>
          <w:szCs w:val="32"/>
        </w:rPr>
        <w:t>新能源汽车保有量较高的</w:t>
      </w:r>
      <w:r>
        <w:rPr>
          <w:rFonts w:hint="default" w:ascii="仿宋_GB2312" w:hAnsi="仿宋_GB2312" w:eastAsia="仿宋_GB2312" w:cs="仿宋_GB2312"/>
          <w:szCs w:val="32"/>
          <w:lang w:eastAsia="zh-CN"/>
        </w:rPr>
        <w:t>是</w:t>
      </w:r>
      <w:r>
        <w:rPr>
          <w:rFonts w:hint="eastAsia" w:ascii="仿宋_GB2312" w:hAnsi="仿宋_GB2312" w:eastAsia="仿宋_GB2312" w:cs="仿宋_GB2312"/>
          <w:szCs w:val="32"/>
        </w:rPr>
        <w:t>柳州</w:t>
      </w:r>
      <w:r>
        <w:rPr>
          <w:rFonts w:ascii="仿宋_GB2312" w:hAnsi="仿宋_GB2312" w:eastAsia="仿宋_GB2312" w:cs="仿宋_GB2312"/>
          <w:szCs w:val="32"/>
        </w:rPr>
        <w:t>市、南宁市和桂林市，</w:t>
      </w:r>
      <w:r>
        <w:rPr>
          <w:rFonts w:hint="eastAsia" w:ascii="仿宋_GB2312" w:hAnsi="仿宋_GB2312" w:eastAsia="仿宋_GB2312" w:cs="仿宋_GB2312"/>
          <w:szCs w:val="32"/>
        </w:rPr>
        <w:t>分别为8.35万</w:t>
      </w:r>
      <w:r>
        <w:rPr>
          <w:rFonts w:ascii="仿宋_GB2312" w:hAnsi="仿宋_GB2312" w:eastAsia="仿宋_GB2312" w:cs="仿宋_GB2312"/>
          <w:szCs w:val="32"/>
        </w:rPr>
        <w:t>辆</w:t>
      </w:r>
      <w:r>
        <w:rPr>
          <w:rFonts w:hint="eastAsia" w:ascii="仿宋_GB2312" w:hAnsi="仿宋_GB2312" w:eastAsia="仿宋_GB2312" w:cs="仿宋_GB2312"/>
          <w:szCs w:val="32"/>
        </w:rPr>
        <w:t>、2.63万</w:t>
      </w:r>
      <w:r>
        <w:rPr>
          <w:rFonts w:ascii="仿宋_GB2312" w:hAnsi="仿宋_GB2312" w:eastAsia="仿宋_GB2312" w:cs="仿宋_GB2312"/>
          <w:szCs w:val="32"/>
        </w:rPr>
        <w:t>辆和</w:t>
      </w:r>
      <w:r>
        <w:rPr>
          <w:rFonts w:hint="eastAsia" w:ascii="仿宋_GB2312" w:hAnsi="仿宋_GB2312" w:eastAsia="仿宋_GB2312" w:cs="仿宋_GB2312"/>
          <w:szCs w:val="32"/>
        </w:rPr>
        <w:t>1.26万</w:t>
      </w:r>
      <w:r>
        <w:rPr>
          <w:rFonts w:ascii="仿宋_GB2312" w:hAnsi="仿宋_GB2312" w:eastAsia="仿宋_GB2312" w:cs="仿宋_GB2312"/>
          <w:szCs w:val="32"/>
        </w:rPr>
        <w:t>辆，</w:t>
      </w:r>
      <w:r>
        <w:rPr>
          <w:rFonts w:hint="eastAsia" w:ascii="仿宋_GB2312" w:hAnsi="仿宋_GB2312" w:eastAsia="仿宋_GB2312" w:cs="仿宋_GB2312"/>
          <w:szCs w:val="32"/>
        </w:rPr>
        <w:t>其他</w:t>
      </w:r>
      <w:r>
        <w:rPr>
          <w:rFonts w:hint="eastAsia" w:ascii="仿宋_GB2312" w:hAnsi="仿宋_GB2312" w:eastAsia="仿宋_GB2312" w:cs="仿宋_GB2312"/>
          <w:szCs w:val="32"/>
          <w:lang w:val="en-US" w:eastAsia="zh-CN"/>
        </w:rPr>
        <w:t>市</w:t>
      </w:r>
      <w:r>
        <w:rPr>
          <w:rFonts w:hint="eastAsia" w:ascii="仿宋_GB2312" w:hAnsi="仿宋_GB2312" w:eastAsia="仿宋_GB2312" w:cs="仿宋_GB2312"/>
          <w:szCs w:val="32"/>
        </w:rPr>
        <w:t>推广</w:t>
      </w:r>
      <w:r>
        <w:rPr>
          <w:rFonts w:ascii="仿宋_GB2312" w:hAnsi="仿宋_GB2312" w:eastAsia="仿宋_GB2312" w:cs="仿宋_GB2312"/>
          <w:szCs w:val="32"/>
        </w:rPr>
        <w:t>相对较慢，</w:t>
      </w:r>
      <w:r>
        <w:rPr>
          <w:rFonts w:hint="eastAsia" w:ascii="仿宋_GB2312" w:hAnsi="仿宋_GB2312" w:eastAsia="仿宋_GB2312" w:cs="仿宋_GB2312"/>
          <w:szCs w:val="32"/>
        </w:rPr>
        <w:t>保有量</w:t>
      </w:r>
      <w:r>
        <w:rPr>
          <w:rFonts w:hint="eastAsia" w:ascii="仿宋_GB2312" w:hAnsi="仿宋_GB2312" w:eastAsia="仿宋_GB2312" w:cs="仿宋_GB2312"/>
          <w:szCs w:val="32"/>
          <w:lang w:val="en-US" w:eastAsia="zh-CN"/>
        </w:rPr>
        <w:t>约</w:t>
      </w:r>
      <w:r>
        <w:rPr>
          <w:rFonts w:hint="eastAsia" w:ascii="仿宋_GB2312" w:hAnsi="仿宋_GB2312" w:eastAsia="仿宋_GB2312" w:cs="仿宋_GB2312"/>
          <w:szCs w:val="32"/>
        </w:rPr>
        <w:t>1000辆～4600辆。</w:t>
      </w:r>
    </w:p>
    <w:p>
      <w:pPr>
        <w:pStyle w:val="39"/>
        <w:spacing w:before="0" w:line="600" w:lineRule="exact"/>
        <w:ind w:firstLine="640" w:firstLineChars="200"/>
        <w:rPr>
          <w:rFonts w:hint="eastAsia" w:ascii="仿宋_GB2312" w:hAnsi="仿宋_GB2312" w:eastAsia="仿宋_GB2312" w:cs="仿宋_GB2312"/>
          <w:szCs w:val="32"/>
        </w:rPr>
      </w:pPr>
    </w:p>
    <w:p>
      <w:pPr>
        <w:pStyle w:val="39"/>
        <w:spacing w:before="0" w:line="600" w:lineRule="exact"/>
        <w:ind w:firstLine="0"/>
        <w:rPr>
          <w:rFonts w:hint="eastAsia" w:ascii="仿宋_GB2312" w:hAnsi="仿宋_GB2312" w:eastAsia="仿宋_GB2312" w:cs="仿宋_GB2312"/>
          <w:szCs w:val="32"/>
        </w:rPr>
      </w:pPr>
      <w:r>
        <w:rPr>
          <w:rFonts w:hint="eastAsia" w:ascii="仿宋_GB2312" w:hAnsi="仿宋_GB2312" w:eastAsia="仿宋_GB2312" w:cs="仿宋_GB2312"/>
          <w:szCs w:val="32"/>
        </w:rPr>
        <w:t>表1</w:t>
      </w:r>
      <w:r>
        <w:rPr>
          <w:rFonts w:hint="eastAsia" w:ascii="黑体" w:hAnsi="黑体" w:eastAsia="黑体" w:cs="黑体"/>
          <w:sz w:val="36"/>
          <w:szCs w:val="36"/>
        </w:rPr>
        <w:t xml:space="preserve">   </w:t>
      </w:r>
      <w:r>
        <w:rPr>
          <w:rFonts w:hint="eastAsia" w:ascii="黑体" w:hAnsi="黑体" w:eastAsia="黑体" w:cs="黑体"/>
          <w:sz w:val="36"/>
          <w:szCs w:val="36"/>
          <w:lang w:eastAsia="zh-CN"/>
        </w:rPr>
        <w:t>截至</w:t>
      </w:r>
      <w:r>
        <w:rPr>
          <w:rFonts w:hint="eastAsia" w:ascii="黑体" w:hAnsi="黑体" w:eastAsia="黑体" w:cs="黑体"/>
          <w:sz w:val="36"/>
          <w:szCs w:val="36"/>
        </w:rPr>
        <w:t>2020年</w:t>
      </w:r>
      <w:r>
        <w:rPr>
          <w:rFonts w:hint="eastAsia" w:ascii="黑体" w:hAnsi="黑体" w:eastAsia="黑体" w:cs="黑体"/>
          <w:sz w:val="36"/>
          <w:szCs w:val="36"/>
          <w:lang w:eastAsia="zh-CN"/>
        </w:rPr>
        <w:t>底</w:t>
      </w:r>
      <w:r>
        <w:rPr>
          <w:rFonts w:hint="eastAsia" w:ascii="黑体" w:hAnsi="黑体" w:eastAsia="黑体" w:cs="黑体"/>
          <w:sz w:val="36"/>
          <w:szCs w:val="36"/>
        </w:rPr>
        <w:t>广西新能源汽车推广情况</w:t>
      </w:r>
      <w:r>
        <w:rPr>
          <w:rFonts w:hint="eastAsia" w:ascii="仿宋_GB2312" w:hAnsi="仿宋_GB2312" w:eastAsia="仿宋_GB2312" w:cs="仿宋_GB2312"/>
          <w:szCs w:val="32"/>
        </w:rPr>
        <w:t xml:space="preserve">    </w:t>
      </w:r>
    </w:p>
    <w:p>
      <w:pPr>
        <w:pStyle w:val="39"/>
        <w:spacing w:before="0" w:line="600" w:lineRule="exact"/>
        <w:ind w:firstLine="0"/>
        <w:jc w:val="right"/>
        <w:rPr>
          <w:rFonts w:hint="eastAsia" w:ascii="仿宋_GB2312" w:hAnsi="仿宋_GB2312" w:eastAsia="仿宋_GB2312" w:cs="仿宋_GB2312"/>
          <w:szCs w:val="32"/>
        </w:rPr>
      </w:pPr>
      <w:r>
        <w:rPr>
          <w:rFonts w:hint="eastAsia" w:ascii="仿宋_GB2312" w:hAnsi="仿宋_GB2312" w:eastAsia="仿宋_GB2312" w:cs="仿宋_GB2312"/>
          <w:szCs w:val="32"/>
        </w:rPr>
        <w:t>单位：辆</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555"/>
        <w:gridCol w:w="3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 w:hRule="atLeast"/>
          <w:tblHeader/>
          <w:jc w:val="center"/>
        </w:trPr>
        <w:tc>
          <w:tcPr>
            <w:tcW w:w="1560" w:type="dxa"/>
            <w:noWrap w:val="0"/>
            <w:vAlign w:val="center"/>
          </w:tcPr>
          <w:p>
            <w:pPr>
              <w:widowControl/>
              <w:jc w:val="center"/>
              <w:rPr>
                <w:rFonts w:hint="eastAsia" w:ascii="黑体" w:hAnsi="黑体" w:eastAsia="黑体" w:cs="黑体"/>
                <w:b/>
                <w:bCs/>
                <w:kern w:val="0"/>
                <w:sz w:val="28"/>
                <w:szCs w:val="28"/>
              </w:rPr>
            </w:pPr>
            <w:r>
              <w:rPr>
                <w:rFonts w:hint="eastAsia" w:ascii="黑体" w:hAnsi="黑体" w:eastAsia="黑体" w:cs="黑体"/>
                <w:b/>
                <w:bCs/>
                <w:kern w:val="0"/>
                <w:sz w:val="28"/>
                <w:szCs w:val="28"/>
              </w:rPr>
              <w:t>序号</w:t>
            </w:r>
          </w:p>
        </w:tc>
        <w:tc>
          <w:tcPr>
            <w:tcW w:w="3555" w:type="dxa"/>
            <w:noWrap w:val="0"/>
            <w:vAlign w:val="center"/>
          </w:tcPr>
          <w:p>
            <w:pPr>
              <w:widowControl/>
              <w:jc w:val="center"/>
              <w:rPr>
                <w:rFonts w:hint="eastAsia" w:ascii="黑体" w:hAnsi="黑体" w:eastAsia="黑体" w:cs="黑体"/>
                <w:b/>
                <w:bCs/>
                <w:kern w:val="0"/>
                <w:sz w:val="28"/>
                <w:szCs w:val="28"/>
              </w:rPr>
            </w:pPr>
            <w:r>
              <w:rPr>
                <w:rFonts w:hint="eastAsia" w:ascii="黑体" w:hAnsi="黑体" w:eastAsia="黑体" w:cs="黑体"/>
                <w:b/>
                <w:bCs/>
                <w:kern w:val="0"/>
                <w:sz w:val="28"/>
                <w:szCs w:val="28"/>
              </w:rPr>
              <w:t>地区</w:t>
            </w:r>
          </w:p>
        </w:tc>
        <w:tc>
          <w:tcPr>
            <w:tcW w:w="3102" w:type="dxa"/>
            <w:noWrap w:val="0"/>
            <w:vAlign w:val="center"/>
          </w:tcPr>
          <w:p>
            <w:pPr>
              <w:widowControl/>
              <w:jc w:val="center"/>
              <w:rPr>
                <w:rFonts w:hint="eastAsia" w:ascii="黑体" w:hAnsi="黑体" w:eastAsia="黑体" w:cs="黑体"/>
                <w:sz w:val="28"/>
                <w:szCs w:val="28"/>
              </w:rPr>
            </w:pPr>
            <w:r>
              <w:rPr>
                <w:rFonts w:hint="eastAsia" w:ascii="黑体" w:hAnsi="黑体" w:eastAsia="黑体" w:cs="黑体"/>
                <w:b/>
                <w:bCs/>
                <w:kern w:val="0"/>
                <w:sz w:val="28"/>
                <w:szCs w:val="28"/>
              </w:rPr>
              <w:t>新能源汽车保有量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1560"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1</w:t>
            </w:r>
          </w:p>
        </w:tc>
        <w:tc>
          <w:tcPr>
            <w:tcW w:w="3555"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南宁市</w:t>
            </w:r>
          </w:p>
        </w:tc>
        <w:tc>
          <w:tcPr>
            <w:tcW w:w="3102"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color w:val="000000"/>
                <w:kern w:val="0"/>
                <w:sz w:val="28"/>
                <w:szCs w:val="28"/>
                <w:lang w:bidi="ar"/>
              </w:rPr>
              <w:t>26319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1560"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2</w:t>
            </w:r>
          </w:p>
        </w:tc>
        <w:tc>
          <w:tcPr>
            <w:tcW w:w="3555"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柳州市</w:t>
            </w:r>
          </w:p>
        </w:tc>
        <w:tc>
          <w:tcPr>
            <w:tcW w:w="3102"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color w:val="000000"/>
                <w:kern w:val="0"/>
                <w:sz w:val="28"/>
                <w:szCs w:val="28"/>
                <w:lang w:bidi="ar"/>
              </w:rPr>
              <w:t>83465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1560"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3</w:t>
            </w:r>
          </w:p>
        </w:tc>
        <w:tc>
          <w:tcPr>
            <w:tcW w:w="3555"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桂林市</w:t>
            </w:r>
          </w:p>
        </w:tc>
        <w:tc>
          <w:tcPr>
            <w:tcW w:w="3102"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color w:val="000000"/>
                <w:kern w:val="0"/>
                <w:sz w:val="28"/>
                <w:szCs w:val="28"/>
                <w:lang w:bidi="ar"/>
              </w:rPr>
              <w:t>12556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1560"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4</w:t>
            </w:r>
          </w:p>
        </w:tc>
        <w:tc>
          <w:tcPr>
            <w:tcW w:w="3555"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梧州市</w:t>
            </w:r>
          </w:p>
        </w:tc>
        <w:tc>
          <w:tcPr>
            <w:tcW w:w="3102"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color w:val="000000"/>
                <w:kern w:val="0"/>
                <w:sz w:val="28"/>
                <w:szCs w:val="28"/>
                <w:lang w:bidi="ar"/>
              </w:rPr>
              <w:t>3407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1560"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5</w:t>
            </w:r>
          </w:p>
        </w:tc>
        <w:tc>
          <w:tcPr>
            <w:tcW w:w="3555"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北海市</w:t>
            </w:r>
          </w:p>
        </w:tc>
        <w:tc>
          <w:tcPr>
            <w:tcW w:w="3102"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color w:val="000000"/>
                <w:kern w:val="0"/>
                <w:sz w:val="28"/>
                <w:szCs w:val="28"/>
                <w:lang w:bidi="ar"/>
              </w:rPr>
              <w:t>4182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1560"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6</w:t>
            </w:r>
          </w:p>
        </w:tc>
        <w:tc>
          <w:tcPr>
            <w:tcW w:w="3555"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防城港市</w:t>
            </w:r>
          </w:p>
        </w:tc>
        <w:tc>
          <w:tcPr>
            <w:tcW w:w="3102"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color w:val="000000"/>
                <w:kern w:val="0"/>
                <w:sz w:val="28"/>
                <w:szCs w:val="28"/>
                <w:lang w:bidi="ar"/>
              </w:rPr>
              <w:t>1360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1560"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7</w:t>
            </w:r>
          </w:p>
        </w:tc>
        <w:tc>
          <w:tcPr>
            <w:tcW w:w="3555"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钦州市</w:t>
            </w:r>
          </w:p>
        </w:tc>
        <w:tc>
          <w:tcPr>
            <w:tcW w:w="3102"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color w:val="000000"/>
                <w:kern w:val="0"/>
                <w:sz w:val="28"/>
                <w:szCs w:val="28"/>
                <w:lang w:bidi="ar"/>
              </w:rPr>
              <w:t>3617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1560"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8</w:t>
            </w:r>
          </w:p>
        </w:tc>
        <w:tc>
          <w:tcPr>
            <w:tcW w:w="3555"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贵港市</w:t>
            </w:r>
          </w:p>
        </w:tc>
        <w:tc>
          <w:tcPr>
            <w:tcW w:w="3102"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color w:val="000000"/>
                <w:kern w:val="0"/>
                <w:sz w:val="28"/>
                <w:szCs w:val="28"/>
                <w:lang w:bidi="ar"/>
              </w:rPr>
              <w:t>3755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1560"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9</w:t>
            </w:r>
          </w:p>
        </w:tc>
        <w:tc>
          <w:tcPr>
            <w:tcW w:w="3555"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玉林市</w:t>
            </w:r>
          </w:p>
        </w:tc>
        <w:tc>
          <w:tcPr>
            <w:tcW w:w="3102"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color w:val="000000"/>
                <w:kern w:val="0"/>
                <w:sz w:val="28"/>
                <w:szCs w:val="28"/>
                <w:lang w:bidi="ar"/>
              </w:rPr>
              <w:t>4547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1560"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10</w:t>
            </w:r>
          </w:p>
        </w:tc>
        <w:tc>
          <w:tcPr>
            <w:tcW w:w="3555"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百色市</w:t>
            </w:r>
          </w:p>
        </w:tc>
        <w:tc>
          <w:tcPr>
            <w:tcW w:w="3102"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color w:val="000000"/>
                <w:kern w:val="0"/>
                <w:sz w:val="28"/>
                <w:szCs w:val="28"/>
                <w:lang w:bidi="ar"/>
              </w:rPr>
              <w:t>3239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1560"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11</w:t>
            </w:r>
          </w:p>
        </w:tc>
        <w:tc>
          <w:tcPr>
            <w:tcW w:w="3555"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贺州市</w:t>
            </w:r>
          </w:p>
        </w:tc>
        <w:tc>
          <w:tcPr>
            <w:tcW w:w="3102"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color w:val="000000"/>
                <w:kern w:val="0"/>
                <w:sz w:val="28"/>
                <w:szCs w:val="28"/>
                <w:lang w:bidi="ar"/>
              </w:rPr>
              <w:t>2444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1560"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12</w:t>
            </w:r>
          </w:p>
        </w:tc>
        <w:tc>
          <w:tcPr>
            <w:tcW w:w="3555"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河池市</w:t>
            </w:r>
          </w:p>
        </w:tc>
        <w:tc>
          <w:tcPr>
            <w:tcW w:w="3102"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color w:val="000000"/>
                <w:kern w:val="0"/>
                <w:sz w:val="28"/>
                <w:szCs w:val="28"/>
                <w:lang w:bidi="ar"/>
              </w:rPr>
              <w:t>3428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1560"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13</w:t>
            </w:r>
          </w:p>
        </w:tc>
        <w:tc>
          <w:tcPr>
            <w:tcW w:w="3555"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来宾市</w:t>
            </w:r>
          </w:p>
        </w:tc>
        <w:tc>
          <w:tcPr>
            <w:tcW w:w="3102"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color w:val="000000"/>
                <w:kern w:val="0"/>
                <w:sz w:val="28"/>
                <w:szCs w:val="28"/>
                <w:lang w:bidi="ar"/>
              </w:rPr>
              <w:t>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1560"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14</w:t>
            </w:r>
          </w:p>
        </w:tc>
        <w:tc>
          <w:tcPr>
            <w:tcW w:w="3555"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崇左市</w:t>
            </w:r>
          </w:p>
        </w:tc>
        <w:tc>
          <w:tcPr>
            <w:tcW w:w="3102"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color w:val="000000"/>
                <w:kern w:val="0"/>
                <w:sz w:val="28"/>
                <w:szCs w:val="28"/>
                <w:lang w:bidi="ar"/>
              </w:rPr>
              <w:t>1108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jc w:val="center"/>
        </w:trPr>
        <w:tc>
          <w:tcPr>
            <w:tcW w:w="1560"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合计</w:t>
            </w:r>
          </w:p>
        </w:tc>
        <w:tc>
          <w:tcPr>
            <w:tcW w:w="3555"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　</w:t>
            </w:r>
          </w:p>
        </w:tc>
        <w:tc>
          <w:tcPr>
            <w:tcW w:w="3102"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color w:val="000000"/>
                <w:kern w:val="0"/>
                <w:sz w:val="28"/>
                <w:szCs w:val="28"/>
                <w:lang w:bidi="ar"/>
              </w:rPr>
              <w:t>156906</w:t>
            </w:r>
          </w:p>
        </w:tc>
      </w:tr>
    </w:tbl>
    <w:p>
      <w:pPr>
        <w:pStyle w:val="39"/>
        <w:spacing w:before="0" w:line="48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w:t>
      </w:r>
      <w:r>
        <w:rPr>
          <w:rFonts w:ascii="仿宋_GB2312" w:hAnsi="仿宋_GB2312" w:eastAsia="仿宋_GB2312" w:cs="仿宋_GB2312"/>
          <w:sz w:val="24"/>
          <w:szCs w:val="24"/>
        </w:rPr>
        <w:t>：新能源汽车</w:t>
      </w:r>
      <w:r>
        <w:rPr>
          <w:rFonts w:hint="eastAsia" w:ascii="仿宋_GB2312" w:hAnsi="仿宋_GB2312" w:eastAsia="仿宋_GB2312" w:cs="仿宋_GB2312"/>
          <w:sz w:val="24"/>
          <w:szCs w:val="24"/>
        </w:rPr>
        <w:t>现阶段</w:t>
      </w:r>
      <w:r>
        <w:rPr>
          <w:rFonts w:ascii="仿宋_GB2312" w:hAnsi="仿宋_GB2312" w:eastAsia="仿宋_GB2312" w:cs="仿宋_GB2312"/>
          <w:sz w:val="24"/>
          <w:szCs w:val="24"/>
        </w:rPr>
        <w:t>定义为</w:t>
      </w:r>
      <w:r>
        <w:rPr>
          <w:rFonts w:hint="eastAsia" w:ascii="仿宋_GB2312" w:hAnsi="仿宋_GB2312" w:eastAsia="仿宋_GB2312" w:cs="仿宋_GB2312"/>
          <w:sz w:val="24"/>
          <w:szCs w:val="24"/>
        </w:rPr>
        <w:t>采用新型动力系统，完全或者主要依靠新型能源驱动的汽车，包括插电式混合动力（含增程式）汽车，纯电动汽车和燃料电池汽车等，未来按照国家权威部门要求进行动态调整，下同</w:t>
      </w:r>
      <w:r>
        <w:rPr>
          <w:rFonts w:ascii="仿宋_GB2312" w:hAnsi="仿宋_GB2312" w:eastAsia="仿宋_GB2312" w:cs="仿宋_GB2312"/>
          <w:sz w:val="24"/>
          <w:szCs w:val="24"/>
        </w:rPr>
        <w:t>。</w:t>
      </w:r>
    </w:p>
    <w:p>
      <w:pPr>
        <w:pStyle w:val="4"/>
        <w:widowControl w:val="0"/>
        <w:numPr>
          <w:ilvl w:val="0"/>
          <w:numId w:val="2"/>
        </w:numPr>
        <w:spacing w:before="0" w:after="0" w:line="600" w:lineRule="exact"/>
        <w:ind w:firstLine="643" w:firstLineChars="200"/>
        <w:jc w:val="both"/>
        <w:rPr>
          <w:rFonts w:hint="eastAsia" w:ascii="楷体" w:hAnsi="楷体" w:eastAsia="楷体" w:cs="楷体"/>
          <w:bCs w:val="0"/>
          <w:kern w:val="2"/>
        </w:rPr>
      </w:pPr>
      <w:bookmarkStart w:id="25" w:name="_Toc15080"/>
      <w:bookmarkStart w:id="26" w:name="_Toc58249254"/>
      <w:bookmarkStart w:id="27" w:name="_Toc82509846"/>
      <w:bookmarkStart w:id="28" w:name="_Toc7429"/>
      <w:bookmarkStart w:id="29" w:name="_Toc13214"/>
      <w:r>
        <w:rPr>
          <w:rFonts w:hint="eastAsia" w:ascii="楷体" w:hAnsi="楷体" w:eastAsia="楷体" w:cs="楷体"/>
          <w:bCs w:val="0"/>
          <w:kern w:val="2"/>
        </w:rPr>
        <w:t>充电基础设施发展现状</w:t>
      </w:r>
      <w:bookmarkEnd w:id="25"/>
      <w:bookmarkEnd w:id="26"/>
      <w:bookmarkEnd w:id="27"/>
      <w:bookmarkEnd w:id="28"/>
      <w:bookmarkEnd w:id="29"/>
    </w:p>
    <w:p>
      <w:pPr>
        <w:pStyle w:val="39"/>
        <w:numPr>
          <w:ilvl w:val="0"/>
          <w:numId w:val="3"/>
        </w:numPr>
        <w:tabs>
          <w:tab w:val="left" w:pos="1060"/>
        </w:tabs>
        <w:spacing w:before="0" w:line="600" w:lineRule="exact"/>
        <w:ind w:firstLine="215"/>
        <w:rPr>
          <w:rFonts w:hint="eastAsia" w:ascii="仿宋_GB2312" w:hAnsi="仿宋_GB2312" w:eastAsia="仿宋_GB2312" w:cs="仿宋_GB2312"/>
          <w:b/>
          <w:bCs/>
          <w:szCs w:val="32"/>
        </w:rPr>
      </w:pPr>
      <w:r>
        <w:rPr>
          <w:rFonts w:hint="eastAsia" w:ascii="仿宋_GB2312" w:hAnsi="仿宋_GB2312" w:eastAsia="仿宋_GB2312" w:cs="仿宋_GB2312"/>
          <w:b/>
          <w:bCs/>
          <w:szCs w:val="32"/>
        </w:rPr>
        <w:t>充电基础设施建设优于全国</w:t>
      </w:r>
      <w:r>
        <w:rPr>
          <w:rFonts w:hint="eastAsia" w:ascii="仿宋_GB2312" w:hAnsi="仿宋_GB2312" w:eastAsia="仿宋_GB2312" w:cs="仿宋_GB2312"/>
          <w:b/>
          <w:bCs/>
          <w:szCs w:val="32"/>
          <w:lang w:val="en-US" w:eastAsia="zh-CN"/>
        </w:rPr>
        <w:t>平均</w:t>
      </w:r>
      <w:r>
        <w:rPr>
          <w:rFonts w:hint="eastAsia" w:ascii="仿宋_GB2312" w:hAnsi="仿宋_GB2312" w:eastAsia="仿宋_GB2312" w:cs="仿宋_GB2312"/>
          <w:b/>
          <w:bCs/>
          <w:szCs w:val="32"/>
        </w:rPr>
        <w:t>水平</w:t>
      </w:r>
    </w:p>
    <w:p>
      <w:pPr>
        <w:pStyle w:val="39"/>
        <w:spacing w:before="0" w:line="600" w:lineRule="exact"/>
        <w:ind w:firstLine="640" w:firstLineChars="200"/>
        <w:rPr>
          <w:rFonts w:hint="eastAsia" w:ascii="仿宋_GB2312" w:hAnsi="仿宋_GB2312" w:eastAsia="仿宋_GB2312" w:cs="仿宋_GB2312"/>
          <w:szCs w:val="32"/>
        </w:rPr>
      </w:pPr>
      <w:r>
        <w:rPr>
          <w:rFonts w:ascii="仿宋_GB2312" w:hAnsi="仿宋_GB2312" w:eastAsia="仿宋_GB2312" w:cs="仿宋_GB2312"/>
          <w:szCs w:val="32"/>
        </w:rPr>
        <w:t>截至2020</w:t>
      </w:r>
      <w:r>
        <w:rPr>
          <w:rFonts w:hint="eastAsia" w:ascii="仿宋_GB2312" w:hAnsi="仿宋_GB2312" w:eastAsia="仿宋_GB2312" w:cs="仿宋_GB2312"/>
          <w:szCs w:val="32"/>
        </w:rPr>
        <w:t>年</w:t>
      </w:r>
      <w:r>
        <w:rPr>
          <w:rFonts w:ascii="仿宋_GB2312" w:hAnsi="仿宋_GB2312" w:eastAsia="仿宋_GB2312" w:cs="仿宋_GB2312"/>
          <w:szCs w:val="32"/>
        </w:rPr>
        <w:t>底，</w:t>
      </w:r>
      <w:r>
        <w:rPr>
          <w:rFonts w:hint="eastAsia" w:ascii="仿宋_GB2312" w:hAnsi="仿宋_GB2312" w:eastAsia="仿宋_GB2312" w:cs="仿宋_GB2312"/>
          <w:szCs w:val="32"/>
          <w:lang w:val="en-US" w:eastAsia="zh-CN"/>
        </w:rPr>
        <w:t>全区</w:t>
      </w:r>
      <w:r>
        <w:rPr>
          <w:rFonts w:hint="eastAsia" w:ascii="仿宋_GB2312" w:hAnsi="仿宋_GB2312" w:eastAsia="仿宋_GB2312" w:cs="仿宋_GB2312"/>
          <w:szCs w:val="32"/>
        </w:rPr>
        <w:t>累计建成新能源</w:t>
      </w:r>
      <w:r>
        <w:rPr>
          <w:rFonts w:ascii="仿宋_GB2312" w:hAnsi="仿宋_GB2312" w:eastAsia="仿宋_GB2312" w:cs="仿宋_GB2312"/>
          <w:szCs w:val="32"/>
        </w:rPr>
        <w:t>汽车</w:t>
      </w:r>
      <w:r>
        <w:rPr>
          <w:rFonts w:hint="eastAsia" w:ascii="仿宋_GB2312" w:hAnsi="仿宋_GB2312" w:eastAsia="仿宋_GB2312" w:cs="仿宋_GB2312"/>
          <w:szCs w:val="32"/>
        </w:rPr>
        <w:t>公共</w:t>
      </w:r>
      <w:r>
        <w:rPr>
          <w:rFonts w:ascii="仿宋_GB2312" w:hAnsi="仿宋_GB2312" w:eastAsia="仿宋_GB2312" w:cs="仿宋_GB2312"/>
          <w:szCs w:val="32"/>
        </w:rPr>
        <w:t>充电</w:t>
      </w:r>
      <w:r>
        <w:rPr>
          <w:rFonts w:hint="eastAsia" w:ascii="仿宋_GB2312" w:hAnsi="仿宋_GB2312" w:eastAsia="仿宋_GB2312" w:cs="仿宋_GB2312"/>
          <w:szCs w:val="32"/>
        </w:rPr>
        <w:t>基础设施</w:t>
      </w:r>
      <w:r>
        <w:rPr>
          <w:rFonts w:ascii="仿宋_GB2312" w:hAnsi="仿宋_GB2312" w:eastAsia="仿宋_GB2312" w:cs="仿宋_GB2312"/>
          <w:szCs w:val="32"/>
        </w:rPr>
        <w:t>3.05</w:t>
      </w:r>
      <w:r>
        <w:rPr>
          <w:rFonts w:hint="eastAsia" w:ascii="仿宋_GB2312" w:hAnsi="仿宋_GB2312" w:eastAsia="仿宋_GB2312" w:cs="仿宋_GB2312"/>
          <w:szCs w:val="32"/>
        </w:rPr>
        <w:t>万</w:t>
      </w:r>
      <w:r>
        <w:rPr>
          <w:rFonts w:ascii="仿宋_GB2312" w:hAnsi="仿宋_GB2312" w:eastAsia="仿宋_GB2312" w:cs="仿宋_GB2312"/>
          <w:szCs w:val="32"/>
        </w:rPr>
        <w:t>个，</w:t>
      </w:r>
      <w:r>
        <w:rPr>
          <w:rFonts w:hint="eastAsia" w:ascii="仿宋_GB2312" w:hAnsi="仿宋_GB2312" w:eastAsia="仿宋_GB2312" w:cs="仿宋_GB2312"/>
          <w:szCs w:val="32"/>
        </w:rPr>
        <w:t>新能源</w:t>
      </w:r>
      <w:r>
        <w:rPr>
          <w:rFonts w:ascii="仿宋_GB2312" w:hAnsi="仿宋_GB2312" w:eastAsia="仿宋_GB2312" w:cs="仿宋_GB2312"/>
          <w:szCs w:val="32"/>
        </w:rPr>
        <w:t>汽车</w:t>
      </w:r>
      <w:r>
        <w:rPr>
          <w:rFonts w:hint="eastAsia" w:ascii="仿宋_GB2312" w:hAnsi="仿宋_GB2312" w:eastAsia="仿宋_GB2312" w:cs="仿宋_GB2312"/>
          <w:szCs w:val="32"/>
        </w:rPr>
        <w:t>保有量与公共</w:t>
      </w:r>
      <w:r>
        <w:rPr>
          <w:rFonts w:ascii="仿宋_GB2312" w:hAnsi="仿宋_GB2312" w:eastAsia="仿宋_GB2312" w:cs="仿宋_GB2312"/>
          <w:szCs w:val="32"/>
        </w:rPr>
        <w:t>充电桩</w:t>
      </w:r>
      <w:r>
        <w:rPr>
          <w:rFonts w:hint="eastAsia" w:ascii="仿宋_GB2312" w:hAnsi="仿宋_GB2312" w:eastAsia="仿宋_GB2312" w:cs="仿宋_GB2312"/>
          <w:szCs w:val="32"/>
        </w:rPr>
        <w:t>数量</w:t>
      </w:r>
      <w:r>
        <w:rPr>
          <w:rFonts w:ascii="仿宋_GB2312" w:hAnsi="仿宋_GB2312" w:eastAsia="仿宋_GB2312" w:cs="仿宋_GB2312"/>
          <w:szCs w:val="32"/>
        </w:rPr>
        <w:t>比例为</w:t>
      </w:r>
      <w:r>
        <w:rPr>
          <w:rFonts w:hint="eastAsia" w:ascii="仿宋_GB2312" w:hAnsi="仿宋_GB2312" w:eastAsia="仿宋_GB2312" w:cs="仿宋_GB2312"/>
          <w:szCs w:val="32"/>
        </w:rPr>
        <w:t>5.14</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1</w:t>
      </w:r>
      <w:r>
        <w:rPr>
          <w:rFonts w:ascii="仿宋_GB2312" w:hAnsi="仿宋_GB2312" w:eastAsia="仿宋_GB2312" w:cs="仿宋_GB2312"/>
          <w:szCs w:val="32"/>
        </w:rPr>
        <w:t>，</w:t>
      </w:r>
      <w:r>
        <w:rPr>
          <w:rFonts w:hint="eastAsia" w:ascii="仿宋_GB2312" w:hAnsi="仿宋_GB2312" w:eastAsia="仿宋_GB2312" w:cs="仿宋_GB2312"/>
          <w:szCs w:val="32"/>
        </w:rPr>
        <w:t>优</w:t>
      </w:r>
      <w:r>
        <w:rPr>
          <w:rFonts w:hint="eastAsia" w:ascii="仿宋_GB2312" w:hAnsi="仿宋_GB2312" w:eastAsia="仿宋_GB2312" w:cs="仿宋_GB2312"/>
          <w:szCs w:val="32"/>
          <w:lang w:val="en-US" w:eastAsia="zh-CN"/>
        </w:rPr>
        <w:t>于</w:t>
      </w:r>
      <w:r>
        <w:rPr>
          <w:rFonts w:hint="eastAsia" w:ascii="仿宋_GB2312" w:hAnsi="仿宋_GB2312" w:eastAsia="仿宋_GB2312" w:cs="仿宋_GB2312"/>
          <w:szCs w:val="32"/>
        </w:rPr>
        <w:t>6.1</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1的</w:t>
      </w:r>
      <w:r>
        <w:rPr>
          <w:rFonts w:ascii="仿宋_GB2312" w:hAnsi="仿宋_GB2312" w:eastAsia="仿宋_GB2312" w:cs="仿宋_GB2312"/>
          <w:szCs w:val="32"/>
        </w:rPr>
        <w:t>全国平均水平</w:t>
      </w:r>
      <w:r>
        <w:rPr>
          <w:rFonts w:hint="eastAsia" w:ascii="仿宋_GB2312" w:hAnsi="仿宋_GB2312" w:eastAsia="仿宋_GB2312" w:cs="仿宋_GB2312"/>
          <w:szCs w:val="32"/>
        </w:rPr>
        <w:t>，计及各类自用充电插座后，全区充电</w:t>
      </w:r>
      <w:r>
        <w:rPr>
          <w:rFonts w:hint="eastAsia" w:ascii="仿宋_GB2312" w:hAnsi="仿宋_GB2312" w:eastAsia="仿宋_GB2312" w:cs="仿宋_GB2312"/>
          <w:szCs w:val="32"/>
          <w:lang w:val="en-US" w:eastAsia="zh-CN"/>
        </w:rPr>
        <w:t>基础</w:t>
      </w:r>
      <w:r>
        <w:rPr>
          <w:rFonts w:hint="eastAsia" w:ascii="仿宋_GB2312" w:hAnsi="仿宋_GB2312" w:eastAsia="仿宋_GB2312" w:cs="仿宋_GB2312"/>
          <w:szCs w:val="32"/>
        </w:rPr>
        <w:t>设施约6.82万个，车桩比达到2.3：1，优于全国2.93：1的平均水平</w:t>
      </w:r>
      <w:r>
        <w:rPr>
          <w:rFonts w:ascii="仿宋_GB2312" w:hAnsi="仿宋_GB2312" w:eastAsia="仿宋_GB2312" w:cs="仿宋_GB2312"/>
          <w:szCs w:val="32"/>
        </w:rPr>
        <w:t>。</w:t>
      </w:r>
      <w:r>
        <w:rPr>
          <w:rFonts w:hint="eastAsia" w:ascii="仿宋_GB2312" w:hAnsi="仿宋_GB2312" w:eastAsia="仿宋_GB2312" w:cs="仿宋_GB2312"/>
          <w:szCs w:val="32"/>
        </w:rPr>
        <w:t>根据《广西壮族自治区新能源汽车推广应用攻坚行动方案》，从2019年10月1日至2020年</w:t>
      </w:r>
      <w:r>
        <w:rPr>
          <w:rFonts w:ascii="仿宋_GB2312" w:hAnsi="仿宋_GB2312" w:eastAsia="仿宋_GB2312" w:cs="仿宋_GB2312"/>
          <w:szCs w:val="32"/>
        </w:rPr>
        <w:t>底，</w:t>
      </w:r>
      <w:r>
        <w:rPr>
          <w:rFonts w:hint="eastAsia" w:ascii="仿宋_GB2312" w:hAnsi="仿宋_GB2312" w:eastAsia="仿宋_GB2312" w:cs="仿宋_GB2312"/>
          <w:szCs w:val="32"/>
          <w:lang w:val="en-US" w:eastAsia="zh-CN"/>
        </w:rPr>
        <w:t>全区</w:t>
      </w:r>
      <w:r>
        <w:rPr>
          <w:rFonts w:hint="eastAsia" w:ascii="仿宋_GB2312" w:hAnsi="仿宋_GB2312" w:eastAsia="仿宋_GB2312" w:cs="仿宋_GB2312"/>
          <w:szCs w:val="32"/>
        </w:rPr>
        <w:t>计划新建充电桩11350个，实际</w:t>
      </w:r>
      <w:r>
        <w:rPr>
          <w:rFonts w:hint="eastAsia" w:ascii="仿宋_GB2312" w:hAnsi="仿宋_GB2312" w:eastAsia="仿宋_GB2312" w:cs="仿宋_GB2312"/>
          <w:szCs w:val="32"/>
          <w:lang w:val="en-US" w:eastAsia="zh-CN"/>
        </w:rPr>
        <w:t>建成</w:t>
      </w:r>
      <w:r>
        <w:rPr>
          <w:rFonts w:hint="eastAsia" w:ascii="仿宋_GB2312" w:hAnsi="仿宋_GB2312" w:eastAsia="仿宋_GB2312" w:cs="仿宋_GB2312"/>
          <w:szCs w:val="32"/>
        </w:rPr>
        <w:t>22243个，完成率达到</w:t>
      </w:r>
      <w:r>
        <w:rPr>
          <w:rFonts w:ascii="仿宋_GB2312" w:hAnsi="仿宋_GB2312" w:eastAsia="仿宋_GB2312" w:cs="仿宋_GB2312"/>
          <w:szCs w:val="32"/>
        </w:rPr>
        <w:t>196%</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公共充电桩建成</w:t>
      </w:r>
      <w:r>
        <w:rPr>
          <w:rFonts w:ascii="仿宋_GB2312" w:hAnsi="仿宋_GB2312" w:eastAsia="仿宋_GB2312" w:cs="仿宋_GB2312"/>
          <w:szCs w:val="32"/>
        </w:rPr>
        <w:t>规模较大的</w:t>
      </w:r>
      <w:r>
        <w:rPr>
          <w:rFonts w:hint="default" w:ascii="仿宋_GB2312" w:hAnsi="仿宋_GB2312" w:eastAsia="仿宋_GB2312" w:cs="仿宋_GB2312"/>
          <w:szCs w:val="32"/>
          <w:lang w:eastAsia="zh-CN"/>
        </w:rPr>
        <w:t>是</w:t>
      </w:r>
      <w:r>
        <w:rPr>
          <w:rFonts w:hint="eastAsia" w:ascii="仿宋_GB2312" w:hAnsi="仿宋_GB2312" w:eastAsia="仿宋_GB2312" w:cs="仿宋_GB2312"/>
          <w:szCs w:val="32"/>
        </w:rPr>
        <w:t>南宁</w:t>
      </w:r>
      <w:r>
        <w:rPr>
          <w:rFonts w:ascii="仿宋_GB2312" w:hAnsi="仿宋_GB2312" w:eastAsia="仿宋_GB2312" w:cs="仿宋_GB2312"/>
          <w:szCs w:val="32"/>
        </w:rPr>
        <w:t>市、</w:t>
      </w:r>
      <w:r>
        <w:rPr>
          <w:rFonts w:hint="eastAsia" w:ascii="仿宋_GB2312" w:hAnsi="仿宋_GB2312" w:eastAsia="仿宋_GB2312" w:cs="仿宋_GB2312"/>
          <w:szCs w:val="32"/>
        </w:rPr>
        <w:t>柳州</w:t>
      </w:r>
      <w:r>
        <w:rPr>
          <w:rFonts w:ascii="仿宋_GB2312" w:hAnsi="仿宋_GB2312" w:eastAsia="仿宋_GB2312" w:cs="仿宋_GB2312"/>
          <w:szCs w:val="32"/>
        </w:rPr>
        <w:t>市和桂林市，</w:t>
      </w:r>
      <w:r>
        <w:rPr>
          <w:rFonts w:hint="eastAsia" w:ascii="仿宋_GB2312" w:hAnsi="仿宋_GB2312" w:eastAsia="仿宋_GB2312" w:cs="仿宋_GB2312"/>
          <w:szCs w:val="32"/>
        </w:rPr>
        <w:t>分别建成7156个、6252</w:t>
      </w:r>
      <w:r>
        <w:rPr>
          <w:rFonts w:ascii="仿宋_GB2312" w:hAnsi="仿宋_GB2312" w:eastAsia="仿宋_GB2312" w:cs="仿宋_GB2312"/>
          <w:szCs w:val="32"/>
        </w:rPr>
        <w:t>个和</w:t>
      </w:r>
      <w:r>
        <w:rPr>
          <w:rFonts w:hint="eastAsia" w:ascii="仿宋_GB2312" w:hAnsi="仿宋_GB2312" w:eastAsia="仿宋_GB2312" w:cs="仿宋_GB2312"/>
          <w:szCs w:val="32"/>
        </w:rPr>
        <w:t>2325个</w:t>
      </w:r>
      <w:r>
        <w:rPr>
          <w:rFonts w:ascii="仿宋_GB2312" w:hAnsi="仿宋_GB2312" w:eastAsia="仿宋_GB2312" w:cs="仿宋_GB2312"/>
          <w:szCs w:val="32"/>
        </w:rPr>
        <w:t>，</w:t>
      </w:r>
      <w:r>
        <w:rPr>
          <w:rFonts w:hint="eastAsia" w:ascii="仿宋_GB2312" w:hAnsi="仿宋_GB2312" w:eastAsia="仿宋_GB2312" w:cs="仿宋_GB2312"/>
          <w:szCs w:val="32"/>
        </w:rPr>
        <w:t>其他市公共充电桩建设规模相对较小</w:t>
      </w:r>
      <w:r>
        <w:rPr>
          <w:rFonts w:ascii="仿宋_GB2312" w:hAnsi="仿宋_GB2312" w:eastAsia="仿宋_GB2312" w:cs="仿宋_GB2312"/>
          <w:szCs w:val="32"/>
        </w:rPr>
        <w:t>，</w:t>
      </w:r>
      <w:r>
        <w:rPr>
          <w:rFonts w:hint="eastAsia" w:ascii="仿宋_GB2312" w:hAnsi="仿宋_GB2312" w:eastAsia="仿宋_GB2312" w:cs="仿宋_GB2312"/>
          <w:szCs w:val="32"/>
        </w:rPr>
        <w:t>除贵港市外</w:t>
      </w:r>
      <w:r>
        <w:rPr>
          <w:rFonts w:hint="default" w:ascii="仿宋_GB2312" w:hAnsi="仿宋_GB2312" w:eastAsia="仿宋_GB2312" w:cs="仿宋_GB2312"/>
          <w:szCs w:val="32"/>
        </w:rPr>
        <w:t>，其他</w:t>
      </w:r>
      <w:r>
        <w:rPr>
          <w:rFonts w:hint="eastAsia" w:ascii="仿宋_GB2312" w:hAnsi="仿宋_GB2312" w:eastAsia="仿宋_GB2312" w:cs="仿宋_GB2312"/>
          <w:szCs w:val="32"/>
        </w:rPr>
        <w:t>各市建成数量均未</w:t>
      </w:r>
      <w:r>
        <w:rPr>
          <w:rFonts w:hint="eastAsia" w:ascii="仿宋_GB2312" w:hAnsi="仿宋_GB2312" w:eastAsia="仿宋_GB2312" w:cs="仿宋_GB2312"/>
          <w:szCs w:val="32"/>
          <w:lang w:val="en-US" w:eastAsia="zh-CN"/>
        </w:rPr>
        <w:t>达到</w:t>
      </w:r>
      <w:r>
        <w:rPr>
          <w:rFonts w:hint="eastAsia" w:ascii="仿宋_GB2312" w:hAnsi="仿宋_GB2312" w:eastAsia="仿宋_GB2312" w:cs="仿宋_GB2312"/>
          <w:szCs w:val="32"/>
        </w:rPr>
        <w:t>1000个。</w:t>
      </w:r>
    </w:p>
    <w:p>
      <w:pPr>
        <w:pStyle w:val="39"/>
        <w:spacing w:before="0" w:line="600" w:lineRule="exact"/>
        <w:ind w:firstLine="640" w:firstLineChars="200"/>
        <w:rPr>
          <w:rFonts w:hint="eastAsia" w:ascii="仿宋_GB2312" w:hAnsi="仿宋_GB2312" w:eastAsia="仿宋_GB2312" w:cs="仿宋_GB2312"/>
          <w:szCs w:val="32"/>
        </w:rPr>
      </w:pPr>
    </w:p>
    <w:p>
      <w:pPr>
        <w:pStyle w:val="39"/>
        <w:spacing w:before="0" w:line="600" w:lineRule="exact"/>
        <w:ind w:firstLine="640" w:firstLineChars="200"/>
        <w:rPr>
          <w:rFonts w:hint="eastAsia" w:ascii="仿宋_GB2312" w:hAnsi="仿宋_GB2312" w:eastAsia="仿宋_GB2312" w:cs="仿宋_GB2312"/>
          <w:szCs w:val="32"/>
        </w:rPr>
      </w:pPr>
    </w:p>
    <w:p>
      <w:pPr>
        <w:pStyle w:val="39"/>
        <w:spacing w:before="0" w:line="600" w:lineRule="exact"/>
        <w:ind w:firstLine="0"/>
        <w:jc w:val="both"/>
        <w:rPr>
          <w:rFonts w:hint="eastAsia" w:ascii="黑体" w:hAnsi="黑体" w:eastAsia="黑体" w:cs="黑体"/>
          <w:sz w:val="36"/>
          <w:szCs w:val="36"/>
        </w:rPr>
      </w:pPr>
      <w:r>
        <w:rPr>
          <w:rFonts w:hint="eastAsia" w:ascii="仿宋_GB2312" w:hAnsi="仿宋_GB2312" w:eastAsia="仿宋_GB2312" w:cs="仿宋_GB2312"/>
          <w:szCs w:val="32"/>
        </w:rPr>
        <w:t xml:space="preserve">表2 </w:t>
      </w:r>
      <w:r>
        <w:rPr>
          <w:rFonts w:hint="eastAsia" w:ascii="仿宋_GB2312" w:hAnsi="仿宋_GB2312" w:eastAsia="仿宋_GB2312" w:cs="仿宋_GB2312"/>
          <w:szCs w:val="32"/>
          <w:lang w:val="en-US" w:eastAsia="zh-CN"/>
        </w:rPr>
        <w:t xml:space="preserve">   </w:t>
      </w:r>
      <w:r>
        <w:rPr>
          <w:rFonts w:hint="eastAsia" w:ascii="黑体" w:hAnsi="黑体" w:eastAsia="黑体" w:cs="黑体"/>
          <w:sz w:val="36"/>
          <w:szCs w:val="36"/>
          <w:lang w:val="en-US" w:eastAsia="zh-CN"/>
        </w:rPr>
        <w:t>全区新能源汽车推广应用</w:t>
      </w:r>
      <w:r>
        <w:rPr>
          <w:rFonts w:hint="eastAsia" w:ascii="黑体" w:hAnsi="黑体" w:eastAsia="黑体" w:cs="黑体"/>
          <w:sz w:val="36"/>
          <w:szCs w:val="36"/>
          <w:lang w:eastAsia="zh-CN"/>
        </w:rPr>
        <w:t>攻坚行动期间</w:t>
      </w:r>
    </w:p>
    <w:p>
      <w:pPr>
        <w:pStyle w:val="39"/>
        <w:spacing w:before="0" w:line="600" w:lineRule="exact"/>
        <w:ind w:firstLine="0"/>
        <w:jc w:val="center"/>
        <w:rPr>
          <w:rFonts w:hint="eastAsia" w:ascii="黑体" w:hAnsi="黑体" w:eastAsia="黑体" w:cs="黑体"/>
          <w:sz w:val="36"/>
          <w:szCs w:val="36"/>
        </w:rPr>
      </w:pPr>
      <w:r>
        <w:rPr>
          <w:rFonts w:hint="eastAsia" w:ascii="黑体" w:hAnsi="黑体" w:eastAsia="黑体" w:cs="黑体"/>
          <w:sz w:val="36"/>
          <w:szCs w:val="36"/>
        </w:rPr>
        <w:t>各市公共充电桩建成情况</w:t>
      </w:r>
    </w:p>
    <w:tbl>
      <w:tblPr>
        <w:tblStyle w:val="2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3553"/>
        <w:gridCol w:w="3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 w:hRule="atLeast"/>
          <w:tblHeader/>
        </w:trPr>
        <w:tc>
          <w:tcPr>
            <w:tcW w:w="1838" w:type="dxa"/>
            <w:noWrap w:val="0"/>
            <w:vAlign w:val="center"/>
          </w:tcPr>
          <w:p>
            <w:pPr>
              <w:widowControl/>
              <w:jc w:val="center"/>
              <w:rPr>
                <w:rFonts w:hint="eastAsia" w:ascii="黑体" w:hAnsi="黑体" w:eastAsia="黑体" w:cs="黑体"/>
                <w:b/>
                <w:bCs/>
                <w:kern w:val="0"/>
                <w:sz w:val="28"/>
                <w:szCs w:val="28"/>
              </w:rPr>
            </w:pPr>
            <w:r>
              <w:rPr>
                <w:rFonts w:hint="eastAsia" w:ascii="黑体" w:hAnsi="黑体" w:eastAsia="黑体" w:cs="黑体"/>
                <w:b/>
                <w:bCs/>
                <w:kern w:val="0"/>
                <w:sz w:val="28"/>
                <w:szCs w:val="28"/>
              </w:rPr>
              <w:t>序号</w:t>
            </w:r>
          </w:p>
        </w:tc>
        <w:tc>
          <w:tcPr>
            <w:tcW w:w="3553" w:type="dxa"/>
            <w:noWrap w:val="0"/>
            <w:vAlign w:val="center"/>
          </w:tcPr>
          <w:p>
            <w:pPr>
              <w:widowControl/>
              <w:jc w:val="center"/>
              <w:rPr>
                <w:rFonts w:hint="eastAsia" w:ascii="黑体" w:hAnsi="黑体" w:eastAsia="黑体" w:cs="黑体"/>
                <w:b/>
                <w:bCs/>
                <w:kern w:val="0"/>
                <w:sz w:val="28"/>
                <w:szCs w:val="28"/>
              </w:rPr>
            </w:pPr>
            <w:r>
              <w:rPr>
                <w:rFonts w:hint="eastAsia" w:ascii="黑体" w:hAnsi="黑体" w:eastAsia="黑体" w:cs="黑体"/>
                <w:b/>
                <w:bCs/>
                <w:kern w:val="0"/>
                <w:sz w:val="28"/>
                <w:szCs w:val="28"/>
              </w:rPr>
              <w:t>地区</w:t>
            </w:r>
          </w:p>
        </w:tc>
        <w:tc>
          <w:tcPr>
            <w:tcW w:w="3138" w:type="dxa"/>
            <w:noWrap w:val="0"/>
            <w:vAlign w:val="center"/>
          </w:tcPr>
          <w:p>
            <w:pPr>
              <w:widowControl/>
              <w:jc w:val="center"/>
              <w:rPr>
                <w:rFonts w:hint="eastAsia" w:ascii="黑体" w:hAnsi="黑体" w:eastAsia="黑体" w:cs="黑体"/>
                <w:b/>
                <w:bCs/>
                <w:kern w:val="0"/>
                <w:sz w:val="28"/>
                <w:szCs w:val="28"/>
              </w:rPr>
            </w:pPr>
            <w:r>
              <w:rPr>
                <w:rFonts w:hint="eastAsia" w:ascii="黑体" w:hAnsi="黑体" w:eastAsia="黑体" w:cs="黑体"/>
                <w:b/>
                <w:bCs/>
                <w:kern w:val="0"/>
                <w:sz w:val="28"/>
                <w:szCs w:val="28"/>
              </w:rPr>
              <w:t>建成充电桩数量</w:t>
            </w:r>
          </w:p>
          <w:p>
            <w:pPr>
              <w:widowControl/>
              <w:jc w:val="center"/>
              <w:rPr>
                <w:rFonts w:hint="eastAsia" w:ascii="黑体" w:hAnsi="黑体" w:eastAsia="黑体" w:cs="黑体"/>
                <w:b/>
                <w:bCs/>
                <w:kern w:val="0"/>
                <w:sz w:val="28"/>
                <w:szCs w:val="28"/>
              </w:rPr>
            </w:pPr>
            <w:r>
              <w:rPr>
                <w:rFonts w:hint="eastAsia" w:ascii="黑体" w:hAnsi="黑体" w:eastAsia="黑体" w:cs="黑体"/>
                <w:b/>
                <w:bCs/>
                <w:kern w:val="0"/>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1838"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1</w:t>
            </w:r>
          </w:p>
        </w:tc>
        <w:tc>
          <w:tcPr>
            <w:tcW w:w="3553"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南宁市</w:t>
            </w:r>
          </w:p>
        </w:tc>
        <w:tc>
          <w:tcPr>
            <w:tcW w:w="3138" w:type="dxa"/>
            <w:noWrap w:val="0"/>
            <w:vAlign w:val="center"/>
          </w:tcPr>
          <w:p>
            <w:pPr>
              <w:widowControl/>
              <w:jc w:val="center"/>
              <w:textAlignment w:val="center"/>
              <w:rPr>
                <w:rFonts w:hint="eastAsia" w:ascii="仿宋" w:hAnsi="仿宋" w:eastAsia="仿宋" w:cs="仿宋"/>
                <w:bCs/>
                <w:kern w:val="0"/>
                <w:sz w:val="28"/>
                <w:szCs w:val="28"/>
              </w:rPr>
            </w:pPr>
            <w:r>
              <w:rPr>
                <w:rFonts w:hint="eastAsia" w:ascii="仿宋" w:hAnsi="仿宋" w:eastAsia="仿宋" w:cs="仿宋"/>
                <w:color w:val="000000"/>
                <w:kern w:val="0"/>
                <w:sz w:val="28"/>
                <w:szCs w:val="28"/>
                <w:lang w:bidi="ar"/>
              </w:rPr>
              <w:t>7156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1838"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2</w:t>
            </w:r>
          </w:p>
        </w:tc>
        <w:tc>
          <w:tcPr>
            <w:tcW w:w="3553"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柳州市</w:t>
            </w:r>
          </w:p>
        </w:tc>
        <w:tc>
          <w:tcPr>
            <w:tcW w:w="3138" w:type="dxa"/>
            <w:noWrap w:val="0"/>
            <w:vAlign w:val="center"/>
          </w:tcPr>
          <w:p>
            <w:pPr>
              <w:widowControl/>
              <w:jc w:val="center"/>
              <w:textAlignment w:val="center"/>
              <w:rPr>
                <w:rFonts w:hint="eastAsia" w:ascii="仿宋" w:hAnsi="仿宋" w:eastAsia="仿宋" w:cs="仿宋"/>
                <w:bCs/>
                <w:kern w:val="0"/>
                <w:sz w:val="28"/>
                <w:szCs w:val="28"/>
              </w:rPr>
            </w:pPr>
            <w:r>
              <w:rPr>
                <w:rFonts w:hint="eastAsia" w:ascii="仿宋" w:hAnsi="仿宋" w:eastAsia="仿宋" w:cs="仿宋"/>
                <w:color w:val="000000"/>
                <w:kern w:val="0"/>
                <w:sz w:val="28"/>
                <w:szCs w:val="28"/>
                <w:lang w:bidi="ar"/>
              </w:rPr>
              <w:t>6252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1838"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3</w:t>
            </w:r>
          </w:p>
        </w:tc>
        <w:tc>
          <w:tcPr>
            <w:tcW w:w="3553"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桂林市</w:t>
            </w:r>
          </w:p>
        </w:tc>
        <w:tc>
          <w:tcPr>
            <w:tcW w:w="3138" w:type="dxa"/>
            <w:noWrap w:val="0"/>
            <w:vAlign w:val="center"/>
          </w:tcPr>
          <w:p>
            <w:pPr>
              <w:widowControl/>
              <w:jc w:val="center"/>
              <w:textAlignment w:val="center"/>
              <w:rPr>
                <w:rFonts w:hint="eastAsia" w:ascii="仿宋" w:hAnsi="仿宋" w:eastAsia="仿宋" w:cs="仿宋"/>
                <w:bCs/>
                <w:kern w:val="0"/>
                <w:sz w:val="28"/>
                <w:szCs w:val="28"/>
              </w:rPr>
            </w:pPr>
            <w:r>
              <w:rPr>
                <w:rFonts w:hint="eastAsia" w:ascii="仿宋" w:hAnsi="仿宋" w:eastAsia="仿宋" w:cs="仿宋"/>
                <w:color w:val="000000"/>
                <w:kern w:val="0"/>
                <w:sz w:val="28"/>
                <w:szCs w:val="28"/>
                <w:lang w:bidi="ar"/>
              </w:rPr>
              <w:t>2325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00" w:hRule="atLeast"/>
        </w:trPr>
        <w:tc>
          <w:tcPr>
            <w:tcW w:w="1838"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4</w:t>
            </w:r>
          </w:p>
        </w:tc>
        <w:tc>
          <w:tcPr>
            <w:tcW w:w="3553"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梧州市</w:t>
            </w:r>
          </w:p>
        </w:tc>
        <w:tc>
          <w:tcPr>
            <w:tcW w:w="3138" w:type="dxa"/>
            <w:noWrap w:val="0"/>
            <w:vAlign w:val="center"/>
          </w:tcPr>
          <w:p>
            <w:pPr>
              <w:widowControl/>
              <w:jc w:val="center"/>
              <w:textAlignment w:val="center"/>
              <w:rPr>
                <w:rFonts w:hint="eastAsia" w:ascii="仿宋" w:hAnsi="仿宋" w:eastAsia="仿宋" w:cs="仿宋"/>
                <w:bCs/>
                <w:kern w:val="0"/>
                <w:sz w:val="28"/>
                <w:szCs w:val="28"/>
              </w:rPr>
            </w:pPr>
            <w:r>
              <w:rPr>
                <w:rFonts w:hint="eastAsia" w:ascii="仿宋" w:hAnsi="仿宋" w:eastAsia="仿宋" w:cs="仿宋"/>
                <w:color w:val="000000"/>
                <w:kern w:val="0"/>
                <w:sz w:val="28"/>
                <w:szCs w:val="28"/>
                <w:lang w:bidi="ar"/>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1838"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5</w:t>
            </w:r>
          </w:p>
        </w:tc>
        <w:tc>
          <w:tcPr>
            <w:tcW w:w="3553"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北海市</w:t>
            </w:r>
          </w:p>
        </w:tc>
        <w:tc>
          <w:tcPr>
            <w:tcW w:w="3138" w:type="dxa"/>
            <w:noWrap w:val="0"/>
            <w:vAlign w:val="center"/>
          </w:tcPr>
          <w:p>
            <w:pPr>
              <w:widowControl/>
              <w:jc w:val="center"/>
              <w:textAlignment w:val="center"/>
              <w:rPr>
                <w:rFonts w:hint="eastAsia" w:ascii="仿宋" w:hAnsi="仿宋" w:eastAsia="仿宋" w:cs="仿宋"/>
                <w:bCs/>
                <w:kern w:val="0"/>
                <w:sz w:val="28"/>
                <w:szCs w:val="28"/>
              </w:rPr>
            </w:pPr>
            <w:r>
              <w:rPr>
                <w:rFonts w:hint="eastAsia" w:ascii="仿宋" w:hAnsi="仿宋" w:eastAsia="仿宋" w:cs="仿宋"/>
                <w:color w:val="000000"/>
                <w:kern w:val="0"/>
                <w:sz w:val="28"/>
                <w:szCs w:val="28"/>
                <w:lang w:bidi="ar"/>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1838"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6</w:t>
            </w:r>
          </w:p>
        </w:tc>
        <w:tc>
          <w:tcPr>
            <w:tcW w:w="3553"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防城港市</w:t>
            </w:r>
          </w:p>
        </w:tc>
        <w:tc>
          <w:tcPr>
            <w:tcW w:w="3138" w:type="dxa"/>
            <w:noWrap w:val="0"/>
            <w:vAlign w:val="center"/>
          </w:tcPr>
          <w:p>
            <w:pPr>
              <w:widowControl/>
              <w:jc w:val="center"/>
              <w:textAlignment w:val="center"/>
              <w:rPr>
                <w:rFonts w:hint="eastAsia" w:ascii="仿宋" w:hAnsi="仿宋" w:eastAsia="仿宋" w:cs="仿宋"/>
                <w:bCs/>
                <w:kern w:val="0"/>
                <w:sz w:val="28"/>
                <w:szCs w:val="28"/>
              </w:rPr>
            </w:pPr>
            <w:r>
              <w:rPr>
                <w:rFonts w:hint="eastAsia" w:ascii="仿宋" w:hAnsi="仿宋" w:eastAsia="仿宋" w:cs="仿宋"/>
                <w:color w:val="000000"/>
                <w:kern w:val="0"/>
                <w:sz w:val="28"/>
                <w:szCs w:val="28"/>
                <w:lang w:bidi="ar"/>
              </w:rPr>
              <w:t>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1838"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7</w:t>
            </w:r>
          </w:p>
        </w:tc>
        <w:tc>
          <w:tcPr>
            <w:tcW w:w="3553"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钦州市</w:t>
            </w:r>
          </w:p>
        </w:tc>
        <w:tc>
          <w:tcPr>
            <w:tcW w:w="3138" w:type="dxa"/>
            <w:noWrap w:val="0"/>
            <w:vAlign w:val="center"/>
          </w:tcPr>
          <w:p>
            <w:pPr>
              <w:widowControl/>
              <w:jc w:val="center"/>
              <w:textAlignment w:val="center"/>
              <w:rPr>
                <w:rFonts w:hint="eastAsia" w:ascii="仿宋" w:hAnsi="仿宋" w:eastAsia="仿宋" w:cs="仿宋"/>
                <w:bCs/>
                <w:kern w:val="0"/>
                <w:sz w:val="28"/>
                <w:szCs w:val="28"/>
              </w:rPr>
            </w:pPr>
            <w:r>
              <w:rPr>
                <w:rFonts w:hint="eastAsia" w:ascii="仿宋" w:hAnsi="仿宋" w:eastAsia="仿宋" w:cs="仿宋"/>
                <w:color w:val="000000"/>
                <w:kern w:val="0"/>
                <w:sz w:val="28"/>
                <w:szCs w:val="28"/>
                <w:lang w:bidi="ar"/>
              </w:rPr>
              <w:t>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00" w:hRule="atLeast"/>
        </w:trPr>
        <w:tc>
          <w:tcPr>
            <w:tcW w:w="1838"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8</w:t>
            </w:r>
          </w:p>
        </w:tc>
        <w:tc>
          <w:tcPr>
            <w:tcW w:w="3553"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贵港市</w:t>
            </w:r>
          </w:p>
        </w:tc>
        <w:tc>
          <w:tcPr>
            <w:tcW w:w="3138" w:type="dxa"/>
            <w:noWrap w:val="0"/>
            <w:vAlign w:val="center"/>
          </w:tcPr>
          <w:p>
            <w:pPr>
              <w:widowControl/>
              <w:jc w:val="center"/>
              <w:textAlignment w:val="center"/>
              <w:rPr>
                <w:rFonts w:hint="eastAsia" w:ascii="仿宋" w:hAnsi="仿宋" w:eastAsia="仿宋" w:cs="仿宋"/>
                <w:bCs/>
                <w:kern w:val="0"/>
                <w:sz w:val="28"/>
                <w:szCs w:val="28"/>
              </w:rPr>
            </w:pPr>
            <w:r>
              <w:rPr>
                <w:rFonts w:hint="eastAsia" w:ascii="仿宋" w:hAnsi="仿宋" w:eastAsia="仿宋" w:cs="仿宋"/>
                <w:color w:val="000000"/>
                <w:kern w:val="0"/>
                <w:sz w:val="28"/>
                <w:szCs w:val="28"/>
                <w:lang w:bidi="ar"/>
              </w:rPr>
              <w:t>1039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1838"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9</w:t>
            </w:r>
          </w:p>
        </w:tc>
        <w:tc>
          <w:tcPr>
            <w:tcW w:w="3553"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玉林市</w:t>
            </w:r>
          </w:p>
        </w:tc>
        <w:tc>
          <w:tcPr>
            <w:tcW w:w="3138" w:type="dxa"/>
            <w:noWrap w:val="0"/>
            <w:vAlign w:val="center"/>
          </w:tcPr>
          <w:p>
            <w:pPr>
              <w:widowControl/>
              <w:jc w:val="center"/>
              <w:textAlignment w:val="center"/>
              <w:rPr>
                <w:rFonts w:hint="eastAsia" w:ascii="仿宋" w:hAnsi="仿宋" w:eastAsia="仿宋" w:cs="仿宋"/>
                <w:bCs/>
                <w:kern w:val="0"/>
                <w:sz w:val="28"/>
                <w:szCs w:val="28"/>
              </w:rPr>
            </w:pPr>
            <w:r>
              <w:rPr>
                <w:rFonts w:hint="eastAsia" w:ascii="仿宋" w:hAnsi="仿宋" w:eastAsia="仿宋" w:cs="仿宋"/>
                <w:color w:val="000000"/>
                <w:kern w:val="0"/>
                <w:sz w:val="28"/>
                <w:szCs w:val="28"/>
                <w:lang w:bidi="ar"/>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00" w:hRule="atLeast"/>
        </w:trPr>
        <w:tc>
          <w:tcPr>
            <w:tcW w:w="1838"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10</w:t>
            </w:r>
          </w:p>
        </w:tc>
        <w:tc>
          <w:tcPr>
            <w:tcW w:w="3553"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百色市</w:t>
            </w:r>
          </w:p>
        </w:tc>
        <w:tc>
          <w:tcPr>
            <w:tcW w:w="3138" w:type="dxa"/>
            <w:noWrap w:val="0"/>
            <w:vAlign w:val="center"/>
          </w:tcPr>
          <w:p>
            <w:pPr>
              <w:widowControl/>
              <w:jc w:val="center"/>
              <w:textAlignment w:val="center"/>
              <w:rPr>
                <w:rFonts w:hint="eastAsia" w:ascii="仿宋" w:hAnsi="仿宋" w:eastAsia="仿宋" w:cs="仿宋"/>
                <w:bCs/>
                <w:kern w:val="0"/>
                <w:sz w:val="28"/>
                <w:szCs w:val="28"/>
              </w:rPr>
            </w:pPr>
            <w:r>
              <w:rPr>
                <w:rFonts w:hint="eastAsia" w:ascii="仿宋" w:hAnsi="仿宋" w:eastAsia="仿宋" w:cs="仿宋"/>
                <w:color w:val="000000"/>
                <w:kern w:val="0"/>
                <w:sz w:val="28"/>
                <w:szCs w:val="28"/>
                <w:lang w:bidi="ar"/>
              </w:rPr>
              <w:t>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00" w:hRule="atLeast"/>
        </w:trPr>
        <w:tc>
          <w:tcPr>
            <w:tcW w:w="1838"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11</w:t>
            </w:r>
          </w:p>
        </w:tc>
        <w:tc>
          <w:tcPr>
            <w:tcW w:w="3553"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贺州市</w:t>
            </w:r>
          </w:p>
        </w:tc>
        <w:tc>
          <w:tcPr>
            <w:tcW w:w="3138" w:type="dxa"/>
            <w:noWrap w:val="0"/>
            <w:vAlign w:val="center"/>
          </w:tcPr>
          <w:p>
            <w:pPr>
              <w:widowControl/>
              <w:jc w:val="center"/>
              <w:textAlignment w:val="center"/>
              <w:rPr>
                <w:rFonts w:hint="eastAsia" w:ascii="仿宋" w:hAnsi="仿宋" w:eastAsia="仿宋" w:cs="仿宋"/>
                <w:bCs/>
                <w:kern w:val="0"/>
                <w:sz w:val="28"/>
                <w:szCs w:val="28"/>
              </w:rPr>
            </w:pPr>
            <w:r>
              <w:rPr>
                <w:rFonts w:hint="eastAsia" w:ascii="仿宋" w:hAnsi="仿宋" w:eastAsia="仿宋" w:cs="仿宋"/>
                <w:color w:val="000000"/>
                <w:kern w:val="0"/>
                <w:sz w:val="28"/>
                <w:szCs w:val="28"/>
                <w:lang w:bidi="ar"/>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1838"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12</w:t>
            </w:r>
          </w:p>
        </w:tc>
        <w:tc>
          <w:tcPr>
            <w:tcW w:w="3553"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河池市</w:t>
            </w:r>
          </w:p>
        </w:tc>
        <w:tc>
          <w:tcPr>
            <w:tcW w:w="3138" w:type="dxa"/>
            <w:noWrap w:val="0"/>
            <w:vAlign w:val="center"/>
          </w:tcPr>
          <w:p>
            <w:pPr>
              <w:widowControl/>
              <w:jc w:val="center"/>
              <w:textAlignment w:val="center"/>
              <w:rPr>
                <w:rFonts w:hint="eastAsia" w:ascii="仿宋" w:hAnsi="仿宋" w:eastAsia="仿宋" w:cs="仿宋"/>
                <w:bCs/>
                <w:kern w:val="0"/>
                <w:sz w:val="28"/>
                <w:szCs w:val="28"/>
              </w:rPr>
            </w:pPr>
            <w:r>
              <w:rPr>
                <w:rFonts w:hint="eastAsia" w:ascii="仿宋" w:hAnsi="仿宋" w:eastAsia="仿宋" w:cs="仿宋"/>
                <w:color w:val="000000"/>
                <w:kern w:val="0"/>
                <w:sz w:val="28"/>
                <w:szCs w:val="28"/>
                <w:lang w:bidi="ar"/>
              </w:rPr>
              <w:t>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00" w:hRule="atLeast"/>
        </w:trPr>
        <w:tc>
          <w:tcPr>
            <w:tcW w:w="1838"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13</w:t>
            </w:r>
          </w:p>
        </w:tc>
        <w:tc>
          <w:tcPr>
            <w:tcW w:w="3553"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来宾市</w:t>
            </w:r>
          </w:p>
        </w:tc>
        <w:tc>
          <w:tcPr>
            <w:tcW w:w="3138" w:type="dxa"/>
            <w:noWrap w:val="0"/>
            <w:vAlign w:val="center"/>
          </w:tcPr>
          <w:p>
            <w:pPr>
              <w:widowControl/>
              <w:jc w:val="center"/>
              <w:textAlignment w:val="center"/>
              <w:rPr>
                <w:rFonts w:hint="eastAsia" w:ascii="仿宋" w:hAnsi="仿宋" w:eastAsia="仿宋" w:cs="仿宋"/>
                <w:bCs/>
                <w:kern w:val="0"/>
                <w:sz w:val="28"/>
                <w:szCs w:val="28"/>
              </w:rPr>
            </w:pPr>
            <w:r>
              <w:rPr>
                <w:rFonts w:hint="eastAsia" w:ascii="仿宋" w:hAnsi="仿宋" w:eastAsia="仿宋" w:cs="仿宋"/>
                <w:color w:val="000000"/>
                <w:kern w:val="0"/>
                <w:sz w:val="28"/>
                <w:szCs w:val="28"/>
                <w:lang w:bidi="ar"/>
              </w:rPr>
              <w: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00" w:hRule="atLeast"/>
        </w:trPr>
        <w:tc>
          <w:tcPr>
            <w:tcW w:w="1838"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14</w:t>
            </w:r>
          </w:p>
        </w:tc>
        <w:tc>
          <w:tcPr>
            <w:tcW w:w="3553"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崇左市</w:t>
            </w:r>
          </w:p>
        </w:tc>
        <w:tc>
          <w:tcPr>
            <w:tcW w:w="3138" w:type="dxa"/>
            <w:noWrap w:val="0"/>
            <w:vAlign w:val="center"/>
          </w:tcPr>
          <w:p>
            <w:pPr>
              <w:widowControl/>
              <w:jc w:val="center"/>
              <w:textAlignment w:val="center"/>
              <w:rPr>
                <w:rFonts w:hint="eastAsia" w:ascii="仿宋" w:hAnsi="仿宋" w:eastAsia="仿宋" w:cs="仿宋"/>
                <w:bCs/>
                <w:kern w:val="0"/>
                <w:sz w:val="28"/>
                <w:szCs w:val="28"/>
              </w:rPr>
            </w:pPr>
            <w:r>
              <w:rPr>
                <w:rFonts w:hint="eastAsia" w:ascii="仿宋" w:hAnsi="仿宋" w:eastAsia="仿宋" w:cs="仿宋"/>
                <w:color w:val="000000"/>
                <w:kern w:val="0"/>
                <w:sz w:val="28"/>
                <w:szCs w:val="28"/>
                <w:lang w:bidi="ar"/>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85" w:hRule="atLeast"/>
        </w:trPr>
        <w:tc>
          <w:tcPr>
            <w:tcW w:w="1838"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合计</w:t>
            </w:r>
          </w:p>
        </w:tc>
        <w:tc>
          <w:tcPr>
            <w:tcW w:w="3553" w:type="dxa"/>
            <w:noWrap w:val="0"/>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　</w:t>
            </w:r>
          </w:p>
        </w:tc>
        <w:tc>
          <w:tcPr>
            <w:tcW w:w="3138" w:type="dxa"/>
            <w:noWrap w:val="0"/>
            <w:vAlign w:val="top"/>
          </w:tcPr>
          <w:p>
            <w:pPr>
              <w:widowControl/>
              <w:jc w:val="center"/>
              <w:rPr>
                <w:rFonts w:hint="eastAsia" w:ascii="仿宋" w:hAnsi="仿宋" w:eastAsia="仿宋" w:cs="仿宋"/>
                <w:bCs/>
                <w:kern w:val="0"/>
                <w:sz w:val="28"/>
                <w:szCs w:val="28"/>
              </w:rPr>
            </w:pPr>
            <w:r>
              <w:rPr>
                <w:rFonts w:hint="eastAsia" w:ascii="仿宋" w:hAnsi="仿宋" w:eastAsia="仿宋" w:cs="仿宋"/>
                <w:sz w:val="28"/>
                <w:szCs w:val="28"/>
              </w:rPr>
              <w:t xml:space="preserve">22243 </w:t>
            </w:r>
          </w:p>
        </w:tc>
      </w:tr>
    </w:tbl>
    <w:p>
      <w:pPr>
        <w:pStyle w:val="39"/>
        <w:spacing w:before="0" w:line="48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注</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新能源汽车推广应用攻坚行动</w:t>
      </w:r>
      <w:r>
        <w:rPr>
          <w:rFonts w:hint="default" w:ascii="仿宋_GB2312" w:hAnsi="仿宋_GB2312" w:eastAsia="仿宋_GB2312" w:cs="仿宋_GB2312"/>
          <w:sz w:val="24"/>
          <w:szCs w:val="24"/>
        </w:rPr>
        <w:t>时间：2019年10月1日至2020年12月31日。2.</w:t>
      </w:r>
      <w:r>
        <w:rPr>
          <w:rFonts w:hint="eastAsia" w:ascii="仿宋_GB2312" w:hAnsi="仿宋_GB2312" w:eastAsia="仿宋_GB2312" w:cs="仿宋_GB2312"/>
          <w:sz w:val="24"/>
          <w:szCs w:val="24"/>
        </w:rPr>
        <w:t>充电桩指</w:t>
      </w:r>
      <w:r>
        <w:rPr>
          <w:rFonts w:ascii="仿宋_GB2312" w:hAnsi="仿宋_GB2312" w:eastAsia="仿宋_GB2312" w:cs="仿宋_GB2312"/>
          <w:sz w:val="24"/>
          <w:szCs w:val="24"/>
        </w:rPr>
        <w:t>2.2</w:t>
      </w:r>
      <w:r>
        <w:rPr>
          <w:rFonts w:hint="eastAsia" w:ascii="仿宋_GB2312" w:hAnsi="仿宋_GB2312" w:eastAsia="仿宋_GB2312" w:cs="仿宋_GB2312"/>
          <w:sz w:val="24"/>
          <w:szCs w:val="24"/>
        </w:rPr>
        <w:t>千瓦以上的交流或直流充电设施，每个充电枪计为1个充电桩，下同</w:t>
      </w:r>
      <w:r>
        <w:rPr>
          <w:rFonts w:ascii="仿宋_GB2312" w:hAnsi="仿宋_GB2312" w:eastAsia="仿宋_GB2312" w:cs="仿宋_GB2312"/>
          <w:sz w:val="24"/>
          <w:szCs w:val="24"/>
        </w:rPr>
        <w:t>。</w:t>
      </w:r>
    </w:p>
    <w:p>
      <w:pPr>
        <w:pStyle w:val="39"/>
        <w:numPr>
          <w:ilvl w:val="0"/>
          <w:numId w:val="3"/>
        </w:numPr>
        <w:tabs>
          <w:tab w:val="left" w:pos="1060"/>
        </w:tabs>
        <w:spacing w:before="0" w:line="600" w:lineRule="exact"/>
        <w:ind w:firstLine="215"/>
        <w:rPr>
          <w:rFonts w:hint="eastAsia" w:ascii="仿宋_GB2312" w:hAnsi="仿宋_GB2312" w:eastAsia="仿宋_GB2312" w:cs="仿宋_GB2312"/>
          <w:szCs w:val="32"/>
        </w:rPr>
      </w:pPr>
      <w:r>
        <w:rPr>
          <w:rFonts w:hint="eastAsia" w:ascii="仿宋_GB2312" w:hAnsi="仿宋_GB2312" w:eastAsia="仿宋_GB2312" w:cs="仿宋_GB2312"/>
          <w:b/>
          <w:bCs/>
          <w:szCs w:val="32"/>
        </w:rPr>
        <w:t>充电服务网络初步形成</w:t>
      </w:r>
    </w:p>
    <w:p>
      <w:pPr>
        <w:pStyle w:val="39"/>
        <w:tabs>
          <w:tab w:val="left" w:pos="1060"/>
        </w:tabs>
        <w:spacing w:before="0" w:line="60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“十三五”期间，</w:t>
      </w:r>
      <w:r>
        <w:rPr>
          <w:rFonts w:hint="eastAsia" w:ascii="仿宋_GB2312" w:hAnsi="仿宋_GB2312" w:eastAsia="仿宋_GB2312" w:cs="仿宋_GB2312"/>
          <w:szCs w:val="32"/>
          <w:lang w:val="en-US" w:eastAsia="zh-CN"/>
        </w:rPr>
        <w:t>我区</w:t>
      </w:r>
      <w:r>
        <w:rPr>
          <w:rFonts w:hint="eastAsia" w:ascii="仿宋_GB2312" w:hAnsi="仿宋_GB2312" w:eastAsia="仿宋_GB2312" w:cs="仿宋_GB2312"/>
          <w:szCs w:val="32"/>
        </w:rPr>
        <w:t>坚持贯彻落实《广西电动汽车充电基础设施专项规划（2016</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2020年）》确定的各项建设任务，按照“自(专)用为主、公用为辅</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快慢结合、分类落实”的原则，加快城乡公共充电服务网络建设，充电服务覆盖范围不断扩大，逐步形成以用户居住地、单位内部停车场、公交及出租等专用场站配建的专用充电基础设施为主体，以城市公共建筑停车场、社会公共停车场、路内临时停车位配建的公共充电基础设施为辅助，以独立占地的城市快充站、换电站和高速公路服务区配建的城际快充站为补充的城乡充电服务网络。通过试点示范建设，南宁</w:t>
      </w:r>
      <w:r>
        <w:rPr>
          <w:rFonts w:hint="default" w:ascii="仿宋_GB2312" w:hAnsi="仿宋_GB2312" w:eastAsia="仿宋_GB2312" w:cs="仿宋_GB2312"/>
          <w:szCs w:val="32"/>
        </w:rPr>
        <w:t>市</w:t>
      </w:r>
      <w:r>
        <w:rPr>
          <w:rFonts w:hint="eastAsia" w:ascii="仿宋_GB2312" w:hAnsi="仿宋_GB2312" w:eastAsia="仿宋_GB2312" w:cs="仿宋_GB2312"/>
          <w:szCs w:val="32"/>
        </w:rPr>
        <w:t>、柳州</w:t>
      </w:r>
      <w:r>
        <w:rPr>
          <w:rFonts w:hint="default" w:ascii="仿宋_GB2312" w:hAnsi="仿宋_GB2312" w:eastAsia="仿宋_GB2312" w:cs="仿宋_GB2312"/>
          <w:szCs w:val="32"/>
        </w:rPr>
        <w:t>市</w:t>
      </w:r>
      <w:r>
        <w:rPr>
          <w:rFonts w:hint="eastAsia" w:ascii="仿宋_GB2312" w:hAnsi="仿宋_GB2312" w:eastAsia="仿宋_GB2312" w:cs="仿宋_GB2312"/>
          <w:szCs w:val="32"/>
        </w:rPr>
        <w:t>初步形成与城市充电基础设施相衔接的城际快充网络。建成自治区级电动汽车智能充电服务与监管平台</w:t>
      </w:r>
      <w:r>
        <w:rPr>
          <w:rFonts w:hint="default" w:ascii="仿宋_GB2312" w:hAnsi="仿宋_GB2312" w:eastAsia="仿宋_GB2312" w:cs="仿宋_GB2312"/>
          <w:szCs w:val="32"/>
        </w:rPr>
        <w:t>——</w:t>
      </w:r>
      <w:r>
        <w:rPr>
          <w:rFonts w:hint="eastAsia" w:ascii="仿宋_GB2312" w:hAnsi="仿宋_GB2312" w:eastAsia="仿宋_GB2312" w:cs="仿宋_GB2312"/>
          <w:szCs w:val="32"/>
        </w:rPr>
        <w:t>“八桂充”。</w:t>
      </w:r>
    </w:p>
    <w:p>
      <w:pPr>
        <w:pStyle w:val="4"/>
        <w:widowControl w:val="0"/>
        <w:numPr>
          <w:ilvl w:val="0"/>
          <w:numId w:val="2"/>
        </w:numPr>
        <w:spacing w:before="0" w:after="0" w:line="600" w:lineRule="exact"/>
        <w:ind w:firstLine="643" w:firstLineChars="200"/>
        <w:jc w:val="both"/>
        <w:rPr>
          <w:rFonts w:hint="eastAsia" w:ascii="楷体" w:hAnsi="楷体" w:eastAsia="楷体" w:cs="楷体"/>
          <w:bCs w:val="0"/>
          <w:kern w:val="2"/>
        </w:rPr>
      </w:pPr>
      <w:bookmarkStart w:id="30" w:name="_Toc58249255"/>
      <w:bookmarkStart w:id="31" w:name="_Toc31692"/>
      <w:bookmarkStart w:id="32" w:name="_Toc10573"/>
      <w:bookmarkStart w:id="33" w:name="_Toc82509847"/>
      <w:bookmarkStart w:id="34" w:name="_Toc29120"/>
      <w:r>
        <w:rPr>
          <w:rFonts w:hint="eastAsia" w:ascii="楷体" w:hAnsi="楷体" w:eastAsia="楷体" w:cs="楷体"/>
          <w:bCs w:val="0"/>
          <w:kern w:val="2"/>
        </w:rPr>
        <w:t>充电基础设施政策</w:t>
      </w:r>
      <w:bookmarkEnd w:id="30"/>
      <w:bookmarkEnd w:id="31"/>
      <w:r>
        <w:rPr>
          <w:rFonts w:hint="eastAsia" w:ascii="楷体" w:hAnsi="楷体" w:eastAsia="楷体" w:cs="楷体"/>
          <w:bCs w:val="0"/>
          <w:kern w:val="2"/>
        </w:rPr>
        <w:t>支持体系不断完善</w:t>
      </w:r>
      <w:bookmarkEnd w:id="32"/>
      <w:bookmarkEnd w:id="33"/>
      <w:bookmarkEnd w:id="34"/>
    </w:p>
    <w:p>
      <w:pPr>
        <w:pStyle w:val="39"/>
        <w:spacing w:before="0" w:line="60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2015年以来</w:t>
      </w:r>
      <w:r>
        <w:rPr>
          <w:rFonts w:hint="default" w:ascii="仿宋_GB2312" w:hAnsi="仿宋_GB2312" w:eastAsia="仿宋_GB2312" w:cs="仿宋_GB2312"/>
          <w:szCs w:val="32"/>
        </w:rPr>
        <w:t>，</w:t>
      </w:r>
      <w:r>
        <w:rPr>
          <w:rFonts w:hint="eastAsia" w:ascii="仿宋_GB2312" w:hAnsi="仿宋_GB2312" w:eastAsia="仿宋_GB2312" w:cs="仿宋_GB2312"/>
          <w:szCs w:val="32"/>
        </w:rPr>
        <w:t>为落实国家政策，自治区人民政府</w:t>
      </w:r>
      <w:r>
        <w:rPr>
          <w:rFonts w:hint="eastAsia" w:ascii="仿宋_GB2312" w:hAnsi="仿宋_GB2312" w:eastAsia="仿宋_GB2312" w:cs="仿宋_GB2312"/>
          <w:szCs w:val="32"/>
          <w:lang w:val="en-US" w:eastAsia="zh-CN"/>
        </w:rPr>
        <w:t>及</w:t>
      </w:r>
      <w:r>
        <w:rPr>
          <w:rFonts w:hint="eastAsia" w:ascii="仿宋_GB2312" w:hAnsi="仿宋_GB2312" w:eastAsia="仿宋_GB2312" w:cs="仿宋_GB2312"/>
          <w:szCs w:val="32"/>
        </w:rPr>
        <w:t>相关部门先后印发实施了《广西电动汽车充电基础设施建设运营管理暂行办法》、</w:t>
      </w:r>
      <w:r>
        <w:rPr>
          <w:rFonts w:ascii="仿宋_GB2312" w:hAnsi="仿宋_GB2312" w:eastAsia="仿宋_GB2312" w:cs="仿宋_GB2312"/>
          <w:szCs w:val="32"/>
        </w:rPr>
        <w:t>《广西壮族自治区加快推进电动汽车充电基础设施建设三年行动计划（2019</w:t>
      </w:r>
      <w:r>
        <w:rPr>
          <w:rFonts w:hint="eastAsia" w:ascii="仿宋_GB2312" w:hAnsi="仿宋_GB2312" w:eastAsia="仿宋_GB2312" w:cs="仿宋_GB2312"/>
          <w:szCs w:val="32"/>
          <w:lang w:eastAsia="zh-CN"/>
        </w:rPr>
        <w:t>—</w:t>
      </w:r>
      <w:r>
        <w:rPr>
          <w:rFonts w:ascii="仿宋_GB2312" w:hAnsi="仿宋_GB2312" w:eastAsia="仿宋_GB2312" w:cs="仿宋_GB2312"/>
          <w:szCs w:val="32"/>
        </w:rPr>
        <w:t>2021年）》</w:t>
      </w:r>
      <w:r>
        <w:rPr>
          <w:rFonts w:hint="eastAsia" w:ascii="仿宋_GB2312" w:hAnsi="仿宋_GB2312" w:eastAsia="仿宋_GB2312" w:cs="仿宋_GB2312"/>
          <w:szCs w:val="32"/>
        </w:rPr>
        <w:t>、《广西新能源汽车充电基础设施建设及配套运营服务财政补贴办法》等新能源汽车充电基础设施建设配套政策文件，覆盖充电基础设施建设原则和标准、市场主体准入要求、项目核准备案、项目运营管理、充电服务电价支持、建设运营财政补贴、运营服务商业模式、充电服务平台支撑等各环节，激发了市场活力，维护了市场秩序，营造了较好</w:t>
      </w:r>
      <w:r>
        <w:rPr>
          <w:rFonts w:hint="default" w:ascii="仿宋_GB2312" w:hAnsi="仿宋_GB2312" w:eastAsia="仿宋_GB2312" w:cs="仿宋_GB2312"/>
          <w:szCs w:val="32"/>
        </w:rPr>
        <w:t>的</w:t>
      </w:r>
      <w:r>
        <w:rPr>
          <w:rFonts w:hint="eastAsia" w:ascii="仿宋_GB2312" w:hAnsi="仿宋_GB2312" w:eastAsia="仿宋_GB2312" w:cs="仿宋_GB2312"/>
          <w:szCs w:val="32"/>
        </w:rPr>
        <w:t>营商环境，广大新能源汽车用户交通出行更加便捷，促进了我区新能源汽车产业健康快速发展。</w:t>
      </w:r>
    </w:p>
    <w:p>
      <w:pPr>
        <w:pStyle w:val="39"/>
        <w:spacing w:before="0" w:line="60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尽管我区“十三五”期间充电基础设施建设取得了</w:t>
      </w:r>
      <w:r>
        <w:rPr>
          <w:rFonts w:hint="eastAsia" w:ascii="仿宋_GB2312" w:hAnsi="仿宋_GB2312" w:eastAsia="仿宋_GB2312" w:cs="仿宋_GB2312"/>
          <w:szCs w:val="32"/>
          <w:lang w:val="en-US" w:eastAsia="zh-CN"/>
        </w:rPr>
        <w:t>明显</w:t>
      </w:r>
      <w:r>
        <w:rPr>
          <w:rFonts w:hint="eastAsia" w:ascii="仿宋_GB2312" w:hAnsi="仿宋_GB2312" w:eastAsia="仿宋_GB2312" w:cs="仿宋_GB2312"/>
          <w:szCs w:val="32"/>
        </w:rPr>
        <w:t>成效，但</w:t>
      </w:r>
      <w:r>
        <w:rPr>
          <w:rFonts w:hint="eastAsia" w:ascii="仿宋_GB2312" w:hAnsi="仿宋_GB2312" w:eastAsia="仿宋_GB2312" w:cs="仿宋_GB2312"/>
          <w:szCs w:val="32"/>
          <w:lang w:val="en-US" w:eastAsia="zh-CN"/>
        </w:rPr>
        <w:t>仍</w:t>
      </w:r>
      <w:r>
        <w:rPr>
          <w:rFonts w:hint="eastAsia" w:ascii="仿宋_GB2312" w:hAnsi="仿宋_GB2312" w:eastAsia="仿宋_GB2312" w:cs="仿宋_GB2312"/>
          <w:szCs w:val="32"/>
        </w:rPr>
        <w:t>存在充电基础设施结构性供给不足、建设布局不均衡、建设要素约束紧、充电设施资源整合和信息互联互通滞后、规划衔接不顺畅、充电服务商业模式有待完善等问题。</w:t>
      </w:r>
    </w:p>
    <w:p>
      <w:pPr>
        <w:pStyle w:val="39"/>
        <w:numPr>
          <w:ilvl w:val="0"/>
          <w:numId w:val="1"/>
        </w:numPr>
        <w:spacing w:before="0" w:line="600" w:lineRule="exact"/>
        <w:ind w:firstLine="640"/>
        <w:outlineLvl w:val="0"/>
        <w:rPr>
          <w:rFonts w:hint="eastAsia" w:ascii="黑体" w:hAnsi="黑体" w:eastAsia="黑体" w:cs="黑体"/>
          <w:b/>
          <w:bCs/>
          <w:szCs w:val="32"/>
        </w:rPr>
      </w:pPr>
      <w:bookmarkStart w:id="35" w:name="_Toc32060"/>
      <w:bookmarkStart w:id="36" w:name="_Toc82509848"/>
      <w:bookmarkStart w:id="37" w:name="_Toc20786"/>
      <w:r>
        <w:rPr>
          <w:rFonts w:hint="eastAsia" w:ascii="黑体" w:hAnsi="黑体" w:eastAsia="黑体" w:cs="黑体"/>
          <w:b/>
          <w:bCs/>
          <w:szCs w:val="32"/>
        </w:rPr>
        <w:t>发展机遇</w:t>
      </w:r>
      <w:bookmarkEnd w:id="35"/>
      <w:bookmarkEnd w:id="36"/>
      <w:bookmarkEnd w:id="37"/>
    </w:p>
    <w:p>
      <w:pPr>
        <w:pStyle w:val="39"/>
        <w:spacing w:before="0" w:line="60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lang w:val="en-US" w:eastAsia="zh-CN"/>
        </w:rPr>
        <w:t>从</w:t>
      </w:r>
      <w:r>
        <w:rPr>
          <w:rFonts w:hint="eastAsia" w:ascii="仿宋_GB2312" w:hAnsi="仿宋_GB2312" w:eastAsia="仿宋_GB2312" w:cs="仿宋_GB2312"/>
          <w:szCs w:val="32"/>
        </w:rPr>
        <w:t>国际</w:t>
      </w:r>
      <w:r>
        <w:rPr>
          <w:rFonts w:hint="eastAsia" w:ascii="仿宋_GB2312" w:hAnsi="仿宋_GB2312" w:eastAsia="仿宋_GB2312" w:cs="仿宋_GB2312"/>
          <w:szCs w:val="32"/>
          <w:lang w:val="en-US" w:eastAsia="zh-CN"/>
        </w:rPr>
        <w:t>来看</w:t>
      </w:r>
      <w:r>
        <w:rPr>
          <w:rFonts w:hint="eastAsia" w:ascii="仿宋_GB2312" w:hAnsi="仿宋_GB2312" w:eastAsia="仿宋_GB2312" w:cs="仿宋_GB2312"/>
          <w:szCs w:val="32"/>
        </w:rPr>
        <w:t>，当前全球新一轮科技革命和产业变革蓬勃发展，汽车电动化、网联化、智能化、共享化成为发展潮流和趋势，带动了能源、交通、通信基础设施改造升级，推动了跨行业、跨领域融合创新</w:t>
      </w:r>
      <w:r>
        <w:rPr>
          <w:rFonts w:hint="default" w:ascii="仿宋_GB2312" w:hAnsi="仿宋_GB2312" w:eastAsia="仿宋_GB2312" w:cs="仿宋_GB2312"/>
          <w:szCs w:val="32"/>
        </w:rPr>
        <w:t>，</w:t>
      </w:r>
      <w:r>
        <w:rPr>
          <w:rFonts w:hint="eastAsia" w:ascii="仿宋_GB2312" w:hAnsi="仿宋_GB2312" w:eastAsia="仿宋_GB2312" w:cs="仿宋_GB2312"/>
          <w:szCs w:val="32"/>
        </w:rPr>
        <w:t>促进了能源消费结构优化、交通体系和城市运行智能化水平提升。新能源汽车已成为全球汽车产业转型发展的主要方向和促进世界经济持续增长的重要引擎。</w:t>
      </w:r>
    </w:p>
    <w:p>
      <w:pPr>
        <w:pStyle w:val="39"/>
        <w:spacing w:before="0" w:line="60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lang w:val="en-US" w:eastAsia="zh-CN"/>
        </w:rPr>
        <w:t>从</w:t>
      </w:r>
      <w:r>
        <w:rPr>
          <w:rFonts w:hint="eastAsia" w:ascii="仿宋_GB2312" w:hAnsi="仿宋_GB2312" w:eastAsia="仿宋_GB2312" w:cs="仿宋_GB2312"/>
          <w:szCs w:val="32"/>
        </w:rPr>
        <w:t>国内</w:t>
      </w:r>
      <w:r>
        <w:rPr>
          <w:rFonts w:hint="eastAsia" w:ascii="仿宋_GB2312" w:hAnsi="仿宋_GB2312" w:eastAsia="仿宋_GB2312" w:cs="仿宋_GB2312"/>
          <w:szCs w:val="32"/>
          <w:lang w:val="en-US" w:eastAsia="zh-CN"/>
        </w:rPr>
        <w:t>来看</w:t>
      </w:r>
      <w:r>
        <w:rPr>
          <w:rFonts w:hint="eastAsia" w:ascii="仿宋_GB2312" w:hAnsi="仿宋_GB2312" w:eastAsia="仿宋_GB2312" w:cs="仿宋_GB2312"/>
          <w:szCs w:val="32"/>
        </w:rPr>
        <w:t>，大力发展新能源汽车是我国汽车产业高质量发展的战略选择，是我国从汽车大国迈向汽车强国的必由之路。在以信息化、智能化、数字化为代表的</w:t>
      </w:r>
      <w:r>
        <w:rPr>
          <w:rFonts w:hint="default" w:ascii="仿宋_GB2312" w:hAnsi="仿宋_GB2312" w:eastAsia="仿宋_GB2312" w:cs="仿宋_GB2312"/>
          <w:szCs w:val="32"/>
        </w:rPr>
        <w:t>新型基础设施建设</w:t>
      </w:r>
      <w:r>
        <w:rPr>
          <w:rFonts w:hint="eastAsia" w:ascii="仿宋_GB2312" w:hAnsi="仿宋_GB2312" w:eastAsia="仿宋_GB2312" w:cs="仿宋_GB2312"/>
          <w:szCs w:val="32"/>
        </w:rPr>
        <w:t>推动下，充电基础设施与物联网、</w:t>
      </w:r>
      <w:r>
        <w:rPr>
          <w:rFonts w:hint="eastAsia" w:ascii="仿宋_GB2312" w:hAnsi="仿宋_GB2312" w:eastAsia="仿宋_GB2312" w:cs="仿宋_GB2312"/>
          <w:szCs w:val="32"/>
        </w:rPr>
        <w:fldChar w:fldCharType="begin"/>
      </w:r>
      <w:r>
        <w:rPr>
          <w:rFonts w:hint="eastAsia" w:ascii="仿宋_GB2312" w:hAnsi="仿宋_GB2312" w:eastAsia="仿宋_GB2312" w:cs="仿宋_GB2312"/>
          <w:szCs w:val="32"/>
        </w:rPr>
        <w:instrText xml:space="preserve"> HYPERLINK "http://www.elecfans.com/rengongzhineng/605233_a.html" \t "http://www.elecfans.com/article/83/2020/_blank" </w:instrText>
      </w:r>
      <w:r>
        <w:rPr>
          <w:rFonts w:hint="eastAsia" w:ascii="仿宋_GB2312" w:hAnsi="仿宋_GB2312" w:eastAsia="仿宋_GB2312" w:cs="仿宋_GB2312"/>
          <w:szCs w:val="32"/>
        </w:rPr>
        <w:fldChar w:fldCharType="separate"/>
      </w:r>
      <w:r>
        <w:rPr>
          <w:rFonts w:hint="eastAsia" w:ascii="仿宋_GB2312" w:hAnsi="仿宋_GB2312" w:eastAsia="仿宋_GB2312" w:cs="仿宋_GB2312"/>
          <w:szCs w:val="32"/>
        </w:rPr>
        <w:t>大数据</w:t>
      </w:r>
      <w:r>
        <w:rPr>
          <w:rFonts w:hint="eastAsia" w:ascii="仿宋_GB2312" w:hAnsi="仿宋_GB2312" w:eastAsia="仿宋_GB2312" w:cs="仿宋_GB2312"/>
          <w:szCs w:val="32"/>
        </w:rPr>
        <w:fldChar w:fldCharType="end"/>
      </w:r>
      <w:r>
        <w:rPr>
          <w:rFonts w:hint="eastAsia" w:ascii="仿宋_GB2312" w:hAnsi="仿宋_GB2312" w:eastAsia="仿宋_GB2312" w:cs="仿宋_GB2312"/>
          <w:szCs w:val="32"/>
        </w:rPr>
        <w:t>、云计算、人工智能等技术不断交汇融合，未来充电基础设施将作为面向高质量发展需要，提供数字转型、智能升级、融合创新等服务的重要新型基础设施，支撑车联网、能源网等多网交互融合，形成源网荷储各侧智能协同、灵活互动的开放式智慧平台，为电动汽车用户、政府、出行服务商、能源服务商、制造企业等提供平台综合服务</w:t>
      </w:r>
      <w:r>
        <w:rPr>
          <w:rFonts w:hint="default" w:ascii="仿宋_GB2312" w:hAnsi="仿宋_GB2312" w:eastAsia="仿宋_GB2312" w:cs="仿宋_GB2312"/>
          <w:szCs w:val="32"/>
        </w:rPr>
        <w:t>，</w:t>
      </w:r>
      <w:r>
        <w:rPr>
          <w:rFonts w:hint="eastAsia" w:ascii="仿宋_GB2312" w:hAnsi="仿宋_GB2312" w:eastAsia="仿宋_GB2312" w:cs="仿宋_GB2312"/>
          <w:szCs w:val="32"/>
        </w:rPr>
        <w:t>推动能源、交通、汽车等跨行业合作共享，促进清洁能源消费、绿色出行，助力实现“碳达峰、碳中和”目标。</w:t>
      </w:r>
    </w:p>
    <w:p>
      <w:pPr>
        <w:pStyle w:val="39"/>
        <w:spacing w:before="0" w:line="60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lang w:val="en-US" w:eastAsia="zh-CN"/>
        </w:rPr>
        <w:t>从我区来看</w:t>
      </w:r>
      <w:r>
        <w:rPr>
          <w:rFonts w:hint="eastAsia" w:ascii="仿宋_GB2312" w:hAnsi="仿宋_GB2312" w:eastAsia="仿宋_GB2312" w:cs="仿宋_GB2312"/>
          <w:szCs w:val="32"/>
        </w:rPr>
        <w:t>，新能源汽车是我区实施工业强桂战略，推动汽车工业转型升级，实现高质量发展的重要战略。为推动实现“碳达峰、碳中和”目标，摆脱对化石能源消费的依赖，我区制定了《广西新能源汽车推广应用三年行动计划》，将“十四五”作为我区加快交通领域电气化转型的关键时期</w:t>
      </w:r>
      <w:r>
        <w:rPr>
          <w:rFonts w:hint="default" w:ascii="仿宋_GB2312" w:hAnsi="仿宋_GB2312" w:eastAsia="仿宋_GB2312" w:cs="仿宋_GB2312"/>
          <w:szCs w:val="32"/>
        </w:rPr>
        <w:t>，</w:t>
      </w:r>
      <w:r>
        <w:rPr>
          <w:rFonts w:hint="eastAsia" w:ascii="仿宋_GB2312" w:hAnsi="仿宋_GB2312" w:eastAsia="仿宋_GB2312" w:cs="仿宋_GB2312"/>
          <w:szCs w:val="32"/>
        </w:rPr>
        <w:t>加大力度促进公共交通、物流运输、专用车辆、网约车、公务用车、社会公众等领域新能源汽车保有量增长，大力推动新能源汽车下乡，助力乡村振兴战略实现和美丽乡村建设。要实现上述目标，建设覆盖全面</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服务完善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智能互联的城乡充电基础设施网络尤为迫切，“十四五”期间我区充电基础设施建设正处于大有可为的发展机遇期。</w:t>
      </w:r>
    </w:p>
    <w:p>
      <w:pPr>
        <w:pStyle w:val="39"/>
        <w:numPr>
          <w:ilvl w:val="0"/>
          <w:numId w:val="1"/>
        </w:numPr>
        <w:spacing w:before="0" w:line="600" w:lineRule="exact"/>
        <w:ind w:firstLine="643" w:firstLineChars="200"/>
        <w:outlineLvl w:val="0"/>
        <w:rPr>
          <w:rFonts w:hint="eastAsia" w:ascii="黑体" w:hAnsi="黑体" w:eastAsia="黑体" w:cs="黑体"/>
          <w:b/>
          <w:bCs/>
          <w:szCs w:val="32"/>
        </w:rPr>
      </w:pPr>
      <w:bookmarkStart w:id="38" w:name="_Toc16815"/>
      <w:bookmarkStart w:id="39" w:name="_Toc28784"/>
      <w:bookmarkStart w:id="40" w:name="_Toc82509854"/>
      <w:r>
        <w:rPr>
          <w:rFonts w:hint="eastAsia" w:ascii="黑体" w:hAnsi="黑体" w:eastAsia="黑体" w:cs="黑体"/>
          <w:b/>
          <w:bCs/>
          <w:szCs w:val="32"/>
        </w:rPr>
        <w:t>总体要求</w:t>
      </w:r>
      <w:bookmarkEnd w:id="38"/>
      <w:bookmarkEnd w:id="39"/>
      <w:bookmarkEnd w:id="40"/>
    </w:p>
    <w:p>
      <w:pPr>
        <w:pStyle w:val="4"/>
        <w:widowControl w:val="0"/>
        <w:numPr>
          <w:ilvl w:val="0"/>
          <w:numId w:val="4"/>
        </w:numPr>
        <w:spacing w:before="0" w:after="0" w:line="600" w:lineRule="exact"/>
        <w:ind w:firstLine="643" w:firstLineChars="200"/>
        <w:jc w:val="both"/>
        <w:rPr>
          <w:rFonts w:hint="eastAsia" w:ascii="楷体" w:hAnsi="楷体" w:eastAsia="楷体" w:cs="楷体"/>
          <w:bCs w:val="0"/>
          <w:kern w:val="2"/>
        </w:rPr>
      </w:pPr>
      <w:bookmarkStart w:id="41" w:name="_Toc8960"/>
      <w:bookmarkStart w:id="42" w:name="_Toc32201"/>
      <w:bookmarkStart w:id="43" w:name="_Toc58249265"/>
      <w:bookmarkStart w:id="44" w:name="_Toc82509855"/>
      <w:bookmarkStart w:id="45" w:name="_Toc9882"/>
      <w:r>
        <w:rPr>
          <w:rFonts w:hint="eastAsia" w:ascii="楷体" w:hAnsi="楷体" w:eastAsia="楷体" w:cs="楷体"/>
          <w:bCs w:val="0"/>
          <w:kern w:val="2"/>
        </w:rPr>
        <w:t>指导思想</w:t>
      </w:r>
      <w:bookmarkEnd w:id="41"/>
      <w:bookmarkEnd w:id="42"/>
      <w:bookmarkEnd w:id="43"/>
      <w:bookmarkEnd w:id="44"/>
      <w:bookmarkEnd w:id="45"/>
    </w:p>
    <w:p>
      <w:pPr>
        <w:pStyle w:val="2"/>
        <w:spacing w:line="600" w:lineRule="exact"/>
        <w:ind w:firstLine="640" w:firstLineChars="200"/>
        <w:jc w:val="both"/>
        <w:rPr>
          <w:rFonts w:hint="eastAsia" w:hAnsi="仿宋_GB2312"/>
          <w:color w:val="auto"/>
          <w:kern w:val="2"/>
          <w:sz w:val="32"/>
          <w:szCs w:val="32"/>
        </w:rPr>
      </w:pPr>
      <w:r>
        <w:rPr>
          <w:rFonts w:hint="eastAsia" w:hAnsi="仿宋_GB2312"/>
          <w:color w:val="auto"/>
          <w:kern w:val="2"/>
          <w:sz w:val="32"/>
          <w:szCs w:val="32"/>
        </w:rPr>
        <w:t>以习近平新时代中国特色社会主义思想为指导，全面贯彻党的十九大和十九届二中、三中、四中、五中全会精神，落实党中央、国务院和自治区党委、</w:t>
      </w:r>
      <w:r>
        <w:rPr>
          <w:rFonts w:hint="eastAsia" w:hAnsi="仿宋_GB2312"/>
          <w:color w:val="auto"/>
          <w:kern w:val="2"/>
          <w:sz w:val="32"/>
          <w:szCs w:val="32"/>
          <w:lang w:eastAsia="zh-CN"/>
        </w:rPr>
        <w:t>自治区人民</w:t>
      </w:r>
      <w:r>
        <w:rPr>
          <w:rFonts w:hint="eastAsia" w:hAnsi="仿宋_GB2312"/>
          <w:color w:val="auto"/>
          <w:kern w:val="2"/>
          <w:sz w:val="32"/>
          <w:szCs w:val="32"/>
        </w:rPr>
        <w:t>政府关于加快新能源汽车发展、加快推进新型基础设施建设的决策部署，坚持创新、协调、绿色、开放、共享的新发展理念，推进充电基础设施高质量发展，实现充电网络更加完善</w:t>
      </w:r>
      <w:r>
        <w:rPr>
          <w:rFonts w:hint="default" w:hAnsi="仿宋_GB2312"/>
          <w:color w:val="auto"/>
          <w:kern w:val="2"/>
          <w:sz w:val="32"/>
          <w:szCs w:val="32"/>
        </w:rPr>
        <w:t>，</w:t>
      </w:r>
      <w:r>
        <w:rPr>
          <w:rFonts w:hint="eastAsia" w:hAnsi="仿宋_GB2312"/>
          <w:color w:val="auto"/>
          <w:kern w:val="2"/>
          <w:sz w:val="32"/>
          <w:szCs w:val="32"/>
        </w:rPr>
        <w:t>区域分布更加合理</w:t>
      </w:r>
      <w:r>
        <w:rPr>
          <w:rFonts w:hint="default" w:hAnsi="仿宋_GB2312"/>
          <w:color w:val="auto"/>
          <w:kern w:val="2"/>
          <w:sz w:val="32"/>
          <w:szCs w:val="32"/>
        </w:rPr>
        <w:t>，</w:t>
      </w:r>
      <w:r>
        <w:rPr>
          <w:rFonts w:hint="eastAsia" w:hAnsi="仿宋_GB2312"/>
          <w:color w:val="auto"/>
          <w:kern w:val="2"/>
          <w:sz w:val="32"/>
          <w:szCs w:val="32"/>
        </w:rPr>
        <w:t>充电服务更加便捷</w:t>
      </w:r>
      <w:r>
        <w:rPr>
          <w:rFonts w:hint="default" w:hAnsi="仿宋_GB2312"/>
          <w:color w:val="auto"/>
          <w:kern w:val="2"/>
          <w:sz w:val="32"/>
          <w:szCs w:val="32"/>
        </w:rPr>
        <w:t>，</w:t>
      </w:r>
      <w:r>
        <w:rPr>
          <w:rFonts w:hint="eastAsia" w:hAnsi="仿宋_GB2312"/>
          <w:color w:val="auto"/>
          <w:kern w:val="2"/>
          <w:sz w:val="32"/>
          <w:szCs w:val="32"/>
        </w:rPr>
        <w:t>为</w:t>
      </w:r>
      <w:r>
        <w:rPr>
          <w:rFonts w:hint="eastAsia" w:hAnsi="仿宋_GB2312"/>
          <w:color w:val="auto"/>
          <w:kern w:val="2"/>
          <w:sz w:val="32"/>
          <w:szCs w:val="32"/>
          <w:lang w:eastAsia="zh-CN"/>
        </w:rPr>
        <w:t>新</w:t>
      </w:r>
      <w:r>
        <w:rPr>
          <w:rFonts w:hint="eastAsia" w:hAnsi="仿宋_GB2312"/>
          <w:color w:val="auto"/>
          <w:kern w:val="2"/>
          <w:sz w:val="32"/>
          <w:szCs w:val="32"/>
        </w:rPr>
        <w:t>能源汽车充电服务提供坚强保障，促进</w:t>
      </w:r>
      <w:r>
        <w:rPr>
          <w:rFonts w:hint="eastAsia" w:hAnsi="仿宋_GB2312"/>
          <w:color w:val="auto"/>
          <w:kern w:val="2"/>
          <w:sz w:val="32"/>
          <w:szCs w:val="32"/>
          <w:lang w:eastAsia="zh-CN"/>
        </w:rPr>
        <w:t>新</w:t>
      </w:r>
      <w:r>
        <w:rPr>
          <w:rFonts w:hint="eastAsia" w:hAnsi="仿宋_GB2312"/>
          <w:color w:val="auto"/>
          <w:kern w:val="2"/>
          <w:sz w:val="32"/>
          <w:szCs w:val="32"/>
        </w:rPr>
        <w:t>能源汽车推广应用</w:t>
      </w:r>
      <w:r>
        <w:rPr>
          <w:rFonts w:hint="default" w:hAnsi="仿宋_GB2312"/>
          <w:color w:val="auto"/>
          <w:kern w:val="2"/>
          <w:sz w:val="32"/>
          <w:szCs w:val="32"/>
        </w:rPr>
        <w:t>，推动</w:t>
      </w:r>
      <w:r>
        <w:rPr>
          <w:rFonts w:hint="eastAsia" w:hAnsi="仿宋_GB2312"/>
          <w:color w:val="auto"/>
          <w:kern w:val="2"/>
          <w:sz w:val="32"/>
          <w:szCs w:val="32"/>
        </w:rPr>
        <w:t>全区人民生活生产方式绿色转型。</w:t>
      </w:r>
    </w:p>
    <w:p>
      <w:pPr>
        <w:pStyle w:val="4"/>
        <w:widowControl w:val="0"/>
        <w:numPr>
          <w:ilvl w:val="0"/>
          <w:numId w:val="4"/>
        </w:numPr>
        <w:spacing w:before="0" w:after="0" w:line="600" w:lineRule="exact"/>
        <w:ind w:firstLine="643" w:firstLineChars="200"/>
        <w:jc w:val="both"/>
        <w:rPr>
          <w:rFonts w:hint="eastAsia" w:ascii="楷体" w:hAnsi="楷体" w:eastAsia="楷体" w:cs="楷体"/>
          <w:bCs w:val="0"/>
          <w:kern w:val="2"/>
        </w:rPr>
      </w:pPr>
      <w:bookmarkStart w:id="46" w:name="_Toc25030"/>
      <w:bookmarkStart w:id="47" w:name="_Toc26897"/>
      <w:bookmarkStart w:id="48" w:name="_Toc58249266"/>
      <w:bookmarkStart w:id="49" w:name="_Toc82509856"/>
      <w:bookmarkStart w:id="50" w:name="_Toc5346"/>
      <w:r>
        <w:rPr>
          <w:rFonts w:hint="eastAsia" w:ascii="楷体" w:hAnsi="楷体" w:eastAsia="楷体" w:cs="楷体"/>
          <w:bCs w:val="0"/>
          <w:kern w:val="2"/>
        </w:rPr>
        <w:t>规划原则</w:t>
      </w:r>
      <w:bookmarkEnd w:id="46"/>
      <w:bookmarkEnd w:id="47"/>
      <w:bookmarkEnd w:id="48"/>
      <w:bookmarkEnd w:id="49"/>
      <w:bookmarkEnd w:id="50"/>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统筹规划、科学布局。</w:t>
      </w:r>
      <w:r>
        <w:rPr>
          <w:rFonts w:hint="eastAsia" w:ascii="仿宋_GB2312" w:hAnsi="仿宋_GB2312" w:eastAsia="仿宋_GB2312" w:cs="仿宋_GB2312"/>
          <w:sz w:val="32"/>
          <w:szCs w:val="32"/>
        </w:rPr>
        <w:t>加强充电基础设施</w:t>
      </w:r>
      <w:r>
        <w:rPr>
          <w:rFonts w:hint="default" w:ascii="仿宋_GB2312" w:hAnsi="仿宋_GB2312" w:eastAsia="仿宋_GB2312" w:cs="仿宋_GB2312"/>
          <w:sz w:val="32"/>
          <w:szCs w:val="32"/>
        </w:rPr>
        <w:t>建设</w:t>
      </w:r>
      <w:r>
        <w:rPr>
          <w:rFonts w:hint="eastAsia" w:ascii="仿宋_GB2312" w:hAnsi="仿宋_GB2312" w:eastAsia="仿宋_GB2312" w:cs="仿宋_GB2312"/>
          <w:sz w:val="32"/>
          <w:szCs w:val="32"/>
        </w:rPr>
        <w:t>顶层设计，加大交通、市政、电力等公共资源协同力度，做好充电基础设施建设整体规划，科学确定建设规模和空间布局，形成较为完善的充电基础设施体系。</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系统推进、适度超前。</w:t>
      </w:r>
      <w:r>
        <w:rPr>
          <w:rFonts w:hint="eastAsia" w:ascii="仿宋_GB2312" w:hAnsi="仿宋_GB2312" w:eastAsia="仿宋_GB2312" w:cs="仿宋_GB2312"/>
          <w:sz w:val="32"/>
          <w:szCs w:val="32"/>
        </w:rPr>
        <w:t>紧扣新能源汽车推广应用需求，建立政府有关部门与相关企业各司其职、各尽所能、群策群力、合作共赢的系统推进机制，适度超前建设，站在更高的起点上推进我区充电基础设施</w:t>
      </w:r>
      <w:r>
        <w:rPr>
          <w:rFonts w:hint="default" w:ascii="仿宋_GB2312" w:hAnsi="仿宋_GB2312" w:eastAsia="仿宋_GB2312" w:cs="仿宋_GB2312"/>
          <w:sz w:val="32"/>
          <w:szCs w:val="32"/>
        </w:rPr>
        <w:t>建设</w:t>
      </w:r>
      <w:r>
        <w:rPr>
          <w:rFonts w:hint="eastAsia" w:ascii="仿宋_GB2312" w:hAnsi="仿宋_GB2312" w:eastAsia="仿宋_GB2312" w:cs="仿宋_GB2312"/>
          <w:sz w:val="32"/>
          <w:szCs w:val="32"/>
        </w:rPr>
        <w:t>。</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因地制宜、分类实施。</w:t>
      </w:r>
      <w:r>
        <w:rPr>
          <w:rFonts w:hint="eastAsia" w:ascii="仿宋_GB2312" w:hAnsi="仿宋_GB2312" w:eastAsia="仿宋_GB2312" w:cs="仿宋_GB2312"/>
          <w:sz w:val="32"/>
          <w:szCs w:val="32"/>
        </w:rPr>
        <w:t>紧密结合不同领域、不同层次充电需求，遵循“市场主导、快慢互济”的技术导向，</w:t>
      </w:r>
      <w:r>
        <w:rPr>
          <w:rFonts w:hint="default" w:ascii="仿宋_GB2312" w:hAnsi="仿宋_GB2312" w:eastAsia="仿宋_GB2312" w:cs="仿宋_GB2312"/>
          <w:sz w:val="32"/>
          <w:szCs w:val="32"/>
        </w:rPr>
        <w:t>充分</w:t>
      </w:r>
      <w:r>
        <w:rPr>
          <w:rFonts w:hint="eastAsia" w:ascii="仿宋_GB2312" w:hAnsi="仿宋_GB2312" w:eastAsia="仿宋_GB2312" w:cs="仿宋_GB2312"/>
          <w:sz w:val="32"/>
          <w:szCs w:val="32"/>
        </w:rPr>
        <w:t>整合交通、市政、电力等公共资源，打造充电基础设施发展新模式。</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市场主导、创新机制。</w:t>
      </w:r>
      <w:r>
        <w:rPr>
          <w:rFonts w:hint="eastAsia" w:ascii="仿宋_GB2312" w:hAnsi="仿宋_GB2312" w:eastAsia="仿宋_GB2312" w:cs="仿宋_GB2312"/>
          <w:sz w:val="32"/>
          <w:szCs w:val="32"/>
        </w:rPr>
        <w:t>充分发挥市场主导作用</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通过推广政府和社会资本合作模式、加大财政扶持力度、建立合理价格机制等方式</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引导社会资本参与充电基础设施体系建设运营。鼓励企业结合“互联网+”，创新商业合作与服务模式，创造更多经济社会效益，实现可持续发展。</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智慧管理、综合利用。</w:t>
      </w:r>
      <w:r>
        <w:rPr>
          <w:rFonts w:hint="eastAsia" w:ascii="仿宋_GB2312" w:hAnsi="仿宋_GB2312" w:eastAsia="仿宋_GB2312" w:cs="仿宋_GB2312"/>
          <w:sz w:val="32"/>
          <w:szCs w:val="32"/>
        </w:rPr>
        <w:t>以物联网、大数据、云计算和人工智能为技术依托，完善车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桩、桩群接口通讯标准和数据标准，实现“互联网+充电基础设施”深度融合。推进分布式能源和微网充电基础设施综合利用，促进清洁能源就地消纳利用。</w:t>
      </w:r>
    </w:p>
    <w:p>
      <w:pPr>
        <w:pStyle w:val="4"/>
        <w:widowControl w:val="0"/>
        <w:numPr>
          <w:ilvl w:val="0"/>
          <w:numId w:val="4"/>
        </w:numPr>
        <w:spacing w:before="0" w:after="0" w:line="600" w:lineRule="exact"/>
        <w:ind w:left="0" w:firstLine="643" w:firstLineChars="200"/>
        <w:jc w:val="both"/>
        <w:rPr>
          <w:rFonts w:hint="eastAsia" w:ascii="楷体" w:hAnsi="楷体" w:eastAsia="楷体" w:cs="楷体"/>
          <w:kern w:val="2"/>
        </w:rPr>
      </w:pPr>
      <w:bookmarkStart w:id="51" w:name="_Toc21680"/>
      <w:bookmarkStart w:id="52" w:name="_Toc10909"/>
      <w:r>
        <w:rPr>
          <w:rFonts w:hint="eastAsia" w:ascii="楷体" w:hAnsi="楷体" w:eastAsia="楷体" w:cs="楷体"/>
          <w:kern w:val="2"/>
        </w:rPr>
        <w:t>配置原则</w:t>
      </w:r>
      <w:bookmarkEnd w:id="51"/>
      <w:bookmarkEnd w:id="52"/>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ascii="仿宋_GB2312" w:hAnsi="仿宋_GB2312" w:eastAsia="仿宋_GB2312" w:cs="仿宋_GB2312"/>
          <w:b/>
          <w:bCs/>
          <w:sz w:val="32"/>
          <w:szCs w:val="32"/>
        </w:rPr>
        <w:t>公共充电</w:t>
      </w:r>
      <w:r>
        <w:rPr>
          <w:rFonts w:hint="eastAsia" w:ascii="仿宋_GB2312" w:hAnsi="仿宋_GB2312" w:eastAsia="仿宋_GB2312" w:cs="仿宋_GB2312"/>
          <w:b/>
          <w:bCs/>
          <w:sz w:val="32"/>
          <w:szCs w:val="32"/>
        </w:rPr>
        <w:t>桩</w:t>
      </w:r>
    </w:p>
    <w:p>
      <w:pPr>
        <w:pStyle w:val="2"/>
        <w:spacing w:line="600" w:lineRule="exact"/>
        <w:ind w:firstLine="640" w:firstLineChars="200"/>
        <w:rPr>
          <w:rFonts w:hint="eastAsia" w:hAnsi="仿宋_GB2312"/>
          <w:color w:val="auto"/>
          <w:kern w:val="2"/>
          <w:sz w:val="32"/>
          <w:szCs w:val="32"/>
        </w:rPr>
      </w:pPr>
      <w:r>
        <w:rPr>
          <w:rFonts w:hint="eastAsia" w:hAnsi="仿宋_GB2312"/>
          <w:color w:val="auto"/>
          <w:kern w:val="2"/>
          <w:sz w:val="32"/>
          <w:szCs w:val="32"/>
        </w:rPr>
        <w:t>自治区级机关(含中直驻邕单位)、国有企业停车场按不低于停车位比例10%配建充电</w:t>
      </w:r>
      <w:r>
        <w:rPr>
          <w:rFonts w:hint="eastAsia" w:hAnsi="仿宋_GB2312"/>
          <w:color w:val="auto"/>
          <w:kern w:val="2"/>
          <w:sz w:val="32"/>
          <w:szCs w:val="32"/>
          <w:lang w:val="en-US" w:eastAsia="zh-CN"/>
        </w:rPr>
        <w:t>基础</w:t>
      </w:r>
      <w:r>
        <w:rPr>
          <w:rFonts w:hint="eastAsia" w:hAnsi="仿宋_GB2312"/>
          <w:color w:val="auto"/>
          <w:kern w:val="2"/>
          <w:sz w:val="32"/>
          <w:szCs w:val="32"/>
        </w:rPr>
        <w:t>设施，或预留建设安装条件。</w:t>
      </w:r>
    </w:p>
    <w:p>
      <w:pPr>
        <w:pStyle w:val="2"/>
        <w:spacing w:line="600" w:lineRule="exact"/>
        <w:ind w:firstLine="640" w:firstLineChars="200"/>
        <w:jc w:val="both"/>
        <w:rPr>
          <w:rFonts w:hint="eastAsia" w:hAnsi="仿宋_GB2312"/>
          <w:color w:val="auto"/>
          <w:kern w:val="2"/>
          <w:sz w:val="32"/>
          <w:szCs w:val="32"/>
        </w:rPr>
      </w:pPr>
      <w:r>
        <w:rPr>
          <w:rFonts w:hint="eastAsia" w:hAnsi="仿宋_GB2312"/>
          <w:color w:val="auto"/>
          <w:kern w:val="2"/>
          <w:sz w:val="32"/>
          <w:szCs w:val="32"/>
        </w:rPr>
        <w:t>一类</w:t>
      </w:r>
      <w:r>
        <w:rPr>
          <w:rFonts w:hint="eastAsia" w:hAnsi="仿宋_GB2312"/>
          <w:color w:val="auto"/>
          <w:kern w:val="2"/>
          <w:sz w:val="32"/>
          <w:szCs w:val="32"/>
          <w:lang w:eastAsia="zh-CN"/>
        </w:rPr>
        <w:t>、</w:t>
      </w:r>
      <w:r>
        <w:rPr>
          <w:rFonts w:hint="eastAsia" w:hAnsi="仿宋_GB2312"/>
          <w:color w:val="auto"/>
          <w:kern w:val="2"/>
          <w:sz w:val="32"/>
          <w:szCs w:val="32"/>
        </w:rPr>
        <w:t>二类高速公路服务区小客车停车位按不低于20%的比例建设充电</w:t>
      </w:r>
      <w:r>
        <w:rPr>
          <w:rFonts w:hint="eastAsia" w:hAnsi="仿宋_GB2312"/>
          <w:color w:val="auto"/>
          <w:kern w:val="2"/>
          <w:sz w:val="32"/>
          <w:szCs w:val="32"/>
          <w:lang w:val="en-US" w:eastAsia="zh-CN"/>
        </w:rPr>
        <w:t>基础</w:t>
      </w:r>
      <w:r>
        <w:rPr>
          <w:rFonts w:hint="eastAsia" w:hAnsi="仿宋_GB2312"/>
          <w:color w:val="auto"/>
          <w:kern w:val="2"/>
          <w:sz w:val="32"/>
          <w:szCs w:val="32"/>
        </w:rPr>
        <w:t>设施，宜优先配置快充。</w:t>
      </w:r>
    </w:p>
    <w:p>
      <w:pPr>
        <w:pStyle w:val="2"/>
        <w:spacing w:line="600" w:lineRule="exact"/>
        <w:ind w:firstLine="640" w:firstLineChars="200"/>
        <w:jc w:val="both"/>
        <w:rPr>
          <w:rFonts w:hint="eastAsia" w:hAnsi="仿宋_GB2312"/>
          <w:color w:val="auto"/>
          <w:kern w:val="2"/>
          <w:sz w:val="32"/>
          <w:szCs w:val="32"/>
        </w:rPr>
      </w:pPr>
      <w:r>
        <w:rPr>
          <w:rFonts w:hint="eastAsia" w:hAnsi="仿宋_GB2312"/>
          <w:color w:val="auto"/>
          <w:kern w:val="2"/>
          <w:sz w:val="32"/>
          <w:szCs w:val="32"/>
        </w:rPr>
        <w:t>大型城市综合体、商场、超市、文体场馆、医院、宾馆以及交通枢纽（包括高铁站、机场、公交和出租站场、道路客货运站场、港口码头）、驻车换乘（P+R）、城市道路等公共停车场按不低于停车位20%的</w:t>
      </w:r>
      <w:r>
        <w:rPr>
          <w:rFonts w:hint="eastAsia" w:hAnsi="仿宋_GB2312"/>
          <w:color w:val="auto"/>
          <w:kern w:val="2"/>
          <w:sz w:val="32"/>
          <w:szCs w:val="32"/>
          <w:lang w:val="en-US" w:eastAsia="zh-CN"/>
        </w:rPr>
        <w:t>比例</w:t>
      </w:r>
      <w:r>
        <w:rPr>
          <w:rFonts w:hint="eastAsia" w:hAnsi="仿宋_GB2312"/>
          <w:color w:val="auto"/>
          <w:kern w:val="2"/>
          <w:sz w:val="32"/>
          <w:szCs w:val="32"/>
        </w:rPr>
        <w:t>进行配置充电</w:t>
      </w:r>
      <w:r>
        <w:rPr>
          <w:rFonts w:hint="eastAsia" w:hAnsi="仿宋_GB2312"/>
          <w:color w:val="auto"/>
          <w:kern w:val="2"/>
          <w:sz w:val="32"/>
          <w:szCs w:val="32"/>
          <w:lang w:val="en-US" w:eastAsia="zh-CN"/>
        </w:rPr>
        <w:t>基础</w:t>
      </w:r>
      <w:r>
        <w:rPr>
          <w:rFonts w:hint="eastAsia" w:hAnsi="仿宋_GB2312"/>
          <w:color w:val="auto"/>
          <w:kern w:val="2"/>
          <w:sz w:val="32"/>
          <w:szCs w:val="32"/>
        </w:rPr>
        <w:t>设施。</w:t>
      </w:r>
    </w:p>
    <w:p>
      <w:pPr>
        <w:pStyle w:val="2"/>
        <w:spacing w:line="600" w:lineRule="exact"/>
        <w:ind w:firstLine="640" w:firstLineChars="200"/>
        <w:jc w:val="both"/>
        <w:rPr>
          <w:rFonts w:hint="eastAsia" w:hAnsi="仿宋_GB2312"/>
          <w:color w:val="auto"/>
          <w:kern w:val="2"/>
          <w:sz w:val="32"/>
          <w:szCs w:val="32"/>
        </w:rPr>
      </w:pPr>
      <w:r>
        <w:rPr>
          <w:rFonts w:hint="eastAsia" w:hAnsi="仿宋_GB2312"/>
          <w:color w:val="auto"/>
          <w:kern w:val="2"/>
          <w:sz w:val="32"/>
          <w:szCs w:val="32"/>
        </w:rPr>
        <w:t>A级旅游景区按不低于停车位10%</w:t>
      </w:r>
      <w:r>
        <w:rPr>
          <w:rFonts w:hint="eastAsia" w:hAnsi="仿宋_GB2312"/>
          <w:color w:val="auto"/>
          <w:kern w:val="2"/>
          <w:sz w:val="32"/>
          <w:szCs w:val="32"/>
          <w:lang w:val="en-US" w:eastAsia="zh-CN"/>
        </w:rPr>
        <w:t>的</w:t>
      </w:r>
      <w:r>
        <w:rPr>
          <w:rFonts w:hint="eastAsia" w:hAnsi="仿宋_GB2312"/>
          <w:color w:val="auto"/>
          <w:kern w:val="2"/>
          <w:sz w:val="32"/>
          <w:szCs w:val="32"/>
        </w:rPr>
        <w:t>比例建设充电</w:t>
      </w:r>
      <w:r>
        <w:rPr>
          <w:rFonts w:hint="eastAsia" w:hAnsi="仿宋_GB2312"/>
          <w:color w:val="auto"/>
          <w:kern w:val="2"/>
          <w:sz w:val="32"/>
          <w:szCs w:val="32"/>
          <w:lang w:val="en-US" w:eastAsia="zh-CN"/>
        </w:rPr>
        <w:t>基础</w:t>
      </w:r>
      <w:r>
        <w:rPr>
          <w:rFonts w:hint="eastAsia" w:hAnsi="仿宋_GB2312"/>
          <w:color w:val="auto"/>
          <w:kern w:val="2"/>
          <w:sz w:val="32"/>
          <w:szCs w:val="32"/>
        </w:rPr>
        <w:t>设施；</w:t>
      </w:r>
      <w:r>
        <w:rPr>
          <w:rFonts w:hint="eastAsia" w:hAnsi="仿宋_GB2312"/>
          <w:color w:val="auto"/>
          <w:kern w:val="2"/>
          <w:sz w:val="32"/>
          <w:szCs w:val="32"/>
          <w:lang w:val="en-US" w:eastAsia="zh-CN"/>
        </w:rPr>
        <w:t>AAA</w:t>
      </w:r>
      <w:r>
        <w:rPr>
          <w:rFonts w:hint="eastAsia" w:hAnsi="仿宋_GB2312"/>
          <w:color w:val="auto"/>
          <w:kern w:val="2"/>
          <w:sz w:val="32"/>
          <w:szCs w:val="32"/>
        </w:rPr>
        <w:t>A级</w:t>
      </w:r>
      <w:r>
        <w:rPr>
          <w:rFonts w:hint="eastAsia" w:hAnsi="仿宋_GB2312"/>
          <w:color w:val="auto"/>
          <w:kern w:val="2"/>
          <w:sz w:val="32"/>
          <w:szCs w:val="32"/>
          <w:lang w:val="en-US" w:eastAsia="zh-CN"/>
        </w:rPr>
        <w:t>及</w:t>
      </w:r>
      <w:r>
        <w:rPr>
          <w:rFonts w:hint="eastAsia" w:hAnsi="仿宋_GB2312"/>
          <w:color w:val="auto"/>
          <w:kern w:val="2"/>
          <w:sz w:val="32"/>
          <w:szCs w:val="32"/>
        </w:rPr>
        <w:t>以上旅游景区应设立电动汽车专用充电区域，建设充电</w:t>
      </w:r>
      <w:r>
        <w:rPr>
          <w:rFonts w:hint="eastAsia" w:hAnsi="仿宋_GB2312"/>
          <w:color w:val="auto"/>
          <w:kern w:val="2"/>
          <w:sz w:val="32"/>
          <w:szCs w:val="32"/>
          <w:lang w:val="en-US" w:eastAsia="zh-CN"/>
        </w:rPr>
        <w:t>基础</w:t>
      </w:r>
      <w:r>
        <w:rPr>
          <w:rFonts w:hint="eastAsia" w:hAnsi="仿宋_GB2312"/>
          <w:color w:val="auto"/>
          <w:kern w:val="2"/>
          <w:sz w:val="32"/>
          <w:szCs w:val="32"/>
        </w:rPr>
        <w:t>设施的停车位比例不低于20%，结合景区实际场地情况执行。</w:t>
      </w:r>
      <w:r>
        <w:rPr>
          <w:rFonts w:hint="eastAsia" w:hAnsi="仿宋_GB2312"/>
          <w:color w:val="auto"/>
          <w:kern w:val="2"/>
          <w:sz w:val="32"/>
          <w:szCs w:val="32"/>
          <w:lang w:val="en-US" w:eastAsia="zh-CN"/>
        </w:rPr>
        <w:t>旅游</w:t>
      </w:r>
      <w:r>
        <w:rPr>
          <w:rFonts w:hint="eastAsia" w:hAnsi="仿宋_GB2312"/>
          <w:color w:val="auto"/>
          <w:kern w:val="2"/>
          <w:sz w:val="32"/>
          <w:szCs w:val="32"/>
        </w:rPr>
        <w:t>景区宜优先配置快充。</w:t>
      </w:r>
    </w:p>
    <w:p>
      <w:pPr>
        <w:pStyle w:val="2"/>
        <w:spacing w:line="600" w:lineRule="exact"/>
        <w:ind w:firstLine="640" w:firstLineChars="200"/>
        <w:rPr>
          <w:rFonts w:hint="eastAsia" w:hAnsi="仿宋_GB2312"/>
          <w:color w:val="auto"/>
          <w:kern w:val="2"/>
          <w:sz w:val="32"/>
          <w:szCs w:val="32"/>
        </w:rPr>
      </w:pPr>
      <w:r>
        <w:rPr>
          <w:rFonts w:hint="eastAsia" w:hAnsi="仿宋_GB2312"/>
          <w:color w:val="auto"/>
          <w:kern w:val="2"/>
          <w:sz w:val="32"/>
          <w:szCs w:val="32"/>
        </w:rPr>
        <w:t>鼓励园区规划配建充电</w:t>
      </w:r>
      <w:r>
        <w:rPr>
          <w:rFonts w:hint="eastAsia" w:hAnsi="仿宋_GB2312"/>
          <w:color w:val="auto"/>
          <w:kern w:val="2"/>
          <w:sz w:val="32"/>
          <w:szCs w:val="32"/>
          <w:lang w:val="en-US" w:eastAsia="zh-CN"/>
        </w:rPr>
        <w:t>基础</w:t>
      </w:r>
      <w:r>
        <w:rPr>
          <w:rFonts w:hint="eastAsia" w:hAnsi="仿宋_GB2312"/>
          <w:color w:val="auto"/>
          <w:kern w:val="2"/>
          <w:sz w:val="32"/>
          <w:szCs w:val="32"/>
        </w:rPr>
        <w:t>设施，并作为申报国家级和自治区级园区的优先条件。新建园区应按不低于车位</w:t>
      </w:r>
      <w:r>
        <w:rPr>
          <w:rFonts w:hAnsi="仿宋_GB2312"/>
          <w:color w:val="auto"/>
          <w:kern w:val="2"/>
          <w:sz w:val="32"/>
          <w:szCs w:val="32"/>
        </w:rPr>
        <w:t>15</w:t>
      </w:r>
      <w:r>
        <w:rPr>
          <w:rFonts w:hint="eastAsia" w:hAnsi="仿宋_GB2312"/>
          <w:color w:val="auto"/>
          <w:kern w:val="2"/>
          <w:sz w:val="32"/>
          <w:szCs w:val="32"/>
        </w:rPr>
        <w:t>%的比例同步规划建设充电</w:t>
      </w:r>
      <w:r>
        <w:rPr>
          <w:rFonts w:hint="eastAsia" w:hAnsi="仿宋_GB2312"/>
          <w:color w:val="auto"/>
          <w:kern w:val="2"/>
          <w:sz w:val="32"/>
          <w:szCs w:val="32"/>
          <w:lang w:val="en-US" w:eastAsia="zh-CN"/>
        </w:rPr>
        <w:t>基础</w:t>
      </w:r>
      <w:r>
        <w:rPr>
          <w:rFonts w:hint="eastAsia" w:hAnsi="仿宋_GB2312"/>
          <w:color w:val="auto"/>
          <w:kern w:val="2"/>
          <w:sz w:val="32"/>
          <w:szCs w:val="32"/>
        </w:rPr>
        <w:t>设施。</w:t>
      </w:r>
    </w:p>
    <w:p>
      <w:pPr>
        <w:pStyle w:val="2"/>
        <w:spacing w:line="600" w:lineRule="exact"/>
        <w:ind w:firstLine="643" w:firstLineChars="200"/>
        <w:jc w:val="both"/>
        <w:rPr>
          <w:rFonts w:hAnsi="仿宋_GB2312"/>
          <w:b/>
          <w:bCs/>
          <w:color w:val="auto"/>
          <w:sz w:val="32"/>
          <w:szCs w:val="32"/>
        </w:rPr>
      </w:pPr>
      <w:r>
        <w:rPr>
          <w:rFonts w:hint="eastAsia" w:hAnsi="仿宋_GB2312"/>
          <w:b/>
          <w:bCs/>
          <w:color w:val="auto"/>
          <w:kern w:val="2"/>
          <w:sz w:val="32"/>
          <w:szCs w:val="32"/>
        </w:rPr>
        <w:t>2</w:t>
      </w:r>
      <w:r>
        <w:rPr>
          <w:rFonts w:hint="eastAsia" w:hAnsi="仿宋_GB2312"/>
          <w:b/>
          <w:bCs/>
          <w:color w:val="auto"/>
          <w:kern w:val="2"/>
          <w:sz w:val="32"/>
          <w:szCs w:val="32"/>
          <w:lang w:val="en-US" w:eastAsia="zh-CN"/>
        </w:rPr>
        <w:t>.</w:t>
      </w:r>
      <w:r>
        <w:rPr>
          <w:rFonts w:hint="eastAsia" w:hAnsi="仿宋_GB2312"/>
          <w:b/>
          <w:bCs/>
          <w:color w:val="auto"/>
          <w:sz w:val="32"/>
          <w:szCs w:val="32"/>
        </w:rPr>
        <w:t>自用</w:t>
      </w:r>
      <w:r>
        <w:rPr>
          <w:rFonts w:hAnsi="仿宋_GB2312"/>
          <w:b/>
          <w:bCs/>
          <w:color w:val="auto"/>
          <w:sz w:val="32"/>
          <w:szCs w:val="32"/>
        </w:rPr>
        <w:t>充电</w:t>
      </w:r>
      <w:r>
        <w:rPr>
          <w:rFonts w:hint="eastAsia" w:hAnsi="仿宋_GB2312"/>
          <w:b/>
          <w:bCs/>
          <w:color w:val="auto"/>
          <w:sz w:val="32"/>
          <w:szCs w:val="32"/>
        </w:rPr>
        <w:t>桩</w:t>
      </w:r>
    </w:p>
    <w:p>
      <w:pPr>
        <w:pStyle w:val="2"/>
        <w:spacing w:line="600" w:lineRule="exact"/>
        <w:ind w:firstLine="640" w:firstLineChars="200"/>
        <w:jc w:val="both"/>
        <w:rPr>
          <w:rFonts w:hint="eastAsia" w:hAnsi="仿宋_GB2312"/>
          <w:color w:val="auto"/>
          <w:kern w:val="2"/>
          <w:sz w:val="32"/>
          <w:szCs w:val="32"/>
        </w:rPr>
      </w:pPr>
      <w:r>
        <w:rPr>
          <w:rFonts w:hint="eastAsia" w:hAnsi="仿宋_GB2312"/>
          <w:color w:val="auto"/>
          <w:sz w:val="32"/>
          <w:szCs w:val="32"/>
        </w:rPr>
        <w:t>个人新购置新能源汽车</w:t>
      </w:r>
      <w:r>
        <w:rPr>
          <w:rFonts w:hint="default" w:hAnsi="仿宋_GB2312"/>
          <w:color w:val="auto"/>
          <w:sz w:val="32"/>
          <w:szCs w:val="32"/>
        </w:rPr>
        <w:t>一般</w:t>
      </w:r>
      <w:r>
        <w:rPr>
          <w:rFonts w:hint="eastAsia" w:hAnsi="仿宋_GB2312"/>
          <w:color w:val="auto"/>
          <w:sz w:val="32"/>
          <w:szCs w:val="32"/>
        </w:rPr>
        <w:t>随车配</w:t>
      </w:r>
      <w:r>
        <w:rPr>
          <w:rFonts w:hint="default" w:hAnsi="仿宋_GB2312"/>
          <w:color w:val="auto"/>
          <w:sz w:val="32"/>
          <w:szCs w:val="32"/>
        </w:rPr>
        <w:t>备</w:t>
      </w:r>
      <w:r>
        <w:rPr>
          <w:rFonts w:hint="eastAsia" w:hAnsi="仿宋_GB2312"/>
          <w:color w:val="auto"/>
          <w:sz w:val="32"/>
          <w:szCs w:val="32"/>
        </w:rPr>
        <w:t>充电设施。新建小区按停车位满足1</w:t>
      </w:r>
      <w:r>
        <w:rPr>
          <w:rFonts w:hint="eastAsia" w:hAnsi="仿宋_GB2312"/>
          <w:color w:val="auto"/>
          <w:sz w:val="32"/>
          <w:szCs w:val="32"/>
          <w:lang w:eastAsia="zh-CN"/>
        </w:rPr>
        <w:t>：</w:t>
      </w:r>
      <w:r>
        <w:rPr>
          <w:rFonts w:hint="eastAsia" w:hAnsi="仿宋_GB2312"/>
          <w:color w:val="auto"/>
          <w:sz w:val="32"/>
          <w:szCs w:val="32"/>
        </w:rPr>
        <w:t>1预留充电</w:t>
      </w:r>
      <w:r>
        <w:rPr>
          <w:rFonts w:hint="eastAsia" w:hAnsi="仿宋_GB2312"/>
          <w:color w:val="auto"/>
          <w:sz w:val="32"/>
          <w:szCs w:val="32"/>
          <w:lang w:val="en-US" w:eastAsia="zh-CN"/>
        </w:rPr>
        <w:t>基础</w:t>
      </w:r>
      <w:r>
        <w:rPr>
          <w:rFonts w:hint="eastAsia" w:hAnsi="仿宋_GB2312"/>
          <w:color w:val="auto"/>
          <w:sz w:val="32"/>
          <w:szCs w:val="32"/>
        </w:rPr>
        <w:t>设施安装位置和容量。</w:t>
      </w:r>
      <w:r>
        <w:rPr>
          <w:rFonts w:hint="eastAsia" w:hAnsi="仿宋_GB2312"/>
          <w:color w:val="auto"/>
          <w:kern w:val="2"/>
          <w:sz w:val="32"/>
          <w:szCs w:val="32"/>
        </w:rPr>
        <w:t>积极推进现有居民区停车位的电气化改造，对具备改造条件的老旧小区，鼓励按停车位不低于10%</w:t>
      </w:r>
      <w:r>
        <w:rPr>
          <w:rFonts w:hint="eastAsia" w:hAnsi="仿宋_GB2312"/>
          <w:color w:val="auto"/>
          <w:kern w:val="2"/>
          <w:sz w:val="32"/>
          <w:szCs w:val="32"/>
          <w:lang w:val="en-US" w:eastAsia="zh-CN"/>
        </w:rPr>
        <w:t>的比例</w:t>
      </w:r>
      <w:r>
        <w:rPr>
          <w:rFonts w:hint="eastAsia" w:hAnsi="仿宋_GB2312"/>
          <w:color w:val="auto"/>
          <w:kern w:val="2"/>
          <w:sz w:val="32"/>
          <w:szCs w:val="32"/>
        </w:rPr>
        <w:t>配建充电基础设施。</w:t>
      </w:r>
    </w:p>
    <w:p>
      <w:pPr>
        <w:pStyle w:val="2"/>
        <w:rPr>
          <w:rFonts w:hint="eastAsia"/>
        </w:rPr>
      </w:pPr>
    </w:p>
    <w:p>
      <w:pPr>
        <w:pStyle w:val="4"/>
        <w:widowControl w:val="0"/>
        <w:numPr>
          <w:ilvl w:val="0"/>
          <w:numId w:val="4"/>
        </w:numPr>
        <w:spacing w:before="0" w:after="0" w:line="600" w:lineRule="exact"/>
        <w:ind w:firstLine="643" w:firstLineChars="200"/>
        <w:jc w:val="both"/>
        <w:rPr>
          <w:rFonts w:hint="eastAsia" w:ascii="楷体" w:hAnsi="楷体" w:eastAsia="楷体" w:cs="楷体"/>
          <w:bCs w:val="0"/>
          <w:kern w:val="2"/>
        </w:rPr>
      </w:pPr>
      <w:bookmarkStart w:id="53" w:name="_Toc82509857"/>
      <w:bookmarkStart w:id="54" w:name="_Toc58249267"/>
      <w:bookmarkStart w:id="55" w:name="_Toc25278"/>
      <w:bookmarkStart w:id="56" w:name="_Toc4894"/>
      <w:bookmarkStart w:id="57" w:name="_Toc24744"/>
      <w:r>
        <w:rPr>
          <w:rFonts w:hint="eastAsia" w:ascii="楷体" w:hAnsi="楷体" w:eastAsia="楷体" w:cs="楷体"/>
          <w:bCs w:val="0"/>
          <w:kern w:val="2"/>
        </w:rPr>
        <w:t>发展目标</w:t>
      </w:r>
      <w:bookmarkEnd w:id="53"/>
      <w:bookmarkEnd w:id="54"/>
      <w:bookmarkEnd w:id="55"/>
      <w:bookmarkEnd w:id="56"/>
      <w:bookmarkEnd w:id="57"/>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“十四五”期间，</w:t>
      </w:r>
      <w:r>
        <w:rPr>
          <w:rFonts w:hint="eastAsia" w:ascii="仿宋_GB2312" w:hAnsi="仿宋_GB2312" w:eastAsia="仿宋_GB2312" w:cs="仿宋_GB2312"/>
          <w:sz w:val="32"/>
          <w:szCs w:val="32"/>
          <w:lang w:val="en-US" w:eastAsia="zh-CN"/>
        </w:rPr>
        <w:t>全区</w:t>
      </w:r>
      <w:r>
        <w:rPr>
          <w:rFonts w:hint="eastAsia" w:ascii="仿宋_GB2312" w:hAnsi="仿宋_GB2312" w:eastAsia="仿宋_GB2312" w:cs="仿宋_GB2312"/>
          <w:sz w:val="32"/>
          <w:szCs w:val="32"/>
        </w:rPr>
        <w:t>规划</w:t>
      </w:r>
      <w:r>
        <w:rPr>
          <w:rFonts w:ascii="仿宋_GB2312" w:hAnsi="仿宋_GB2312" w:eastAsia="仿宋_GB2312" w:cs="仿宋_GB2312"/>
          <w:sz w:val="32"/>
          <w:szCs w:val="32"/>
        </w:rPr>
        <w:t>新建公共充电桩</w:t>
      </w:r>
      <w:r>
        <w:rPr>
          <w:rFonts w:hint="eastAsia" w:ascii="仿宋_GB2312" w:hAnsi="仿宋_GB2312" w:eastAsia="仿宋_GB2312" w:cs="仿宋_GB2312"/>
          <w:sz w:val="32"/>
          <w:szCs w:val="32"/>
        </w:rPr>
        <w:t>8万个（包括快充桩2.7万个，慢充桩5.3万个），新建自用充电设施14.7万个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到</w:t>
      </w:r>
      <w:r>
        <w:rPr>
          <w:rFonts w:hint="eastAsia" w:ascii="仿宋_GB2312" w:hAnsi="仿宋_GB2312" w:eastAsia="仿宋_GB2312" w:cs="仿宋_GB2312"/>
          <w:sz w:val="32"/>
          <w:szCs w:val="32"/>
        </w:rPr>
        <w:t>2025年底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全区累计建成充电基础设施29.5万个，其中公共充电桩11.05万个</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自用充电设施18.45万个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w:t>
      </w:r>
      <w:r>
        <w:rPr>
          <w:rFonts w:ascii="仿宋_GB2312" w:hAnsi="仿宋_GB2312" w:eastAsia="仿宋_GB2312" w:cs="仿宋_GB2312"/>
          <w:sz w:val="32"/>
          <w:szCs w:val="32"/>
        </w:rPr>
        <w:t>满足</w:t>
      </w:r>
      <w:r>
        <w:rPr>
          <w:rFonts w:hint="eastAsia" w:ascii="仿宋_GB2312" w:hAnsi="仿宋_GB2312" w:eastAsia="仿宋_GB2312" w:cs="仿宋_GB2312"/>
          <w:sz w:val="32"/>
          <w:szCs w:val="32"/>
        </w:rPr>
        <w:t>约67.89万辆</w:t>
      </w:r>
      <w:r>
        <w:rPr>
          <w:rFonts w:ascii="仿宋_GB2312" w:hAnsi="仿宋_GB2312" w:eastAsia="仿宋_GB2312" w:cs="仿宋_GB2312"/>
          <w:sz w:val="32"/>
          <w:szCs w:val="32"/>
        </w:rPr>
        <w:t>新能源汽车充电需求</w:t>
      </w:r>
      <w:r>
        <w:rPr>
          <w:rFonts w:hint="eastAsia" w:ascii="仿宋_GB2312" w:hAnsi="仿宋_GB2312" w:eastAsia="仿宋_GB2312" w:cs="仿宋_GB2312"/>
          <w:sz w:val="32"/>
          <w:szCs w:val="32"/>
        </w:rPr>
        <w:t>，车桩比保持不低于2.3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1。建成与新能源汽车保有量相适应的车桩相随、适度超前、智能高效的城乡公共充电基础设施服务网络体系，满足全区电动汽车充电服务需求，在全区形成统一开放、竞争有序的充电服务市场。</w:t>
      </w:r>
    </w:p>
    <w:p>
      <w:pPr>
        <w:pStyle w:val="2"/>
        <w:rPr>
          <w:rFonts w:hint="eastAsia"/>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2647"/>
        <w:gridCol w:w="4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73" w:type="dxa"/>
            <w:gridSpan w:val="3"/>
            <w:noWrap w:val="0"/>
            <w:vAlign w:val="center"/>
          </w:tcPr>
          <w:p>
            <w:pPr>
              <w:widowControl/>
              <w:spacing w:line="440" w:lineRule="exact"/>
              <w:jc w:val="center"/>
              <w:rPr>
                <w:rFonts w:hint="eastAsia" w:ascii="仿宋_GB2312" w:hAnsi="黑体" w:eastAsia="仿宋_GB2312" w:cs="黑体"/>
                <w:b/>
                <w:bCs/>
                <w:color w:val="000000"/>
                <w:kern w:val="0"/>
                <w:sz w:val="28"/>
                <w:szCs w:val="28"/>
              </w:rPr>
            </w:pPr>
            <w:r>
              <w:rPr>
                <w:rFonts w:hint="eastAsia" w:ascii="仿宋_GB2312" w:hAnsi="黑体" w:eastAsia="仿宋_GB2312" w:cs="黑体"/>
                <w:b/>
                <w:bCs/>
                <w:color w:val="000000"/>
                <w:kern w:val="0"/>
                <w:sz w:val="28"/>
                <w:szCs w:val="28"/>
              </w:rPr>
              <w:t xml:space="preserve">专栏一 </w:t>
            </w:r>
            <w:r>
              <w:rPr>
                <w:rFonts w:hint="eastAsia" w:ascii="仿宋_GB2312" w:hAnsi="黑体" w:eastAsia="仿宋_GB2312" w:cs="黑体"/>
                <w:b/>
                <w:bCs/>
                <w:color w:val="000000"/>
                <w:kern w:val="0"/>
                <w:sz w:val="28"/>
                <w:szCs w:val="28"/>
                <w:lang w:eastAsia="zh-CN"/>
              </w:rPr>
              <w:t>“</w:t>
            </w:r>
            <w:r>
              <w:rPr>
                <w:rFonts w:hint="eastAsia" w:ascii="仿宋_GB2312" w:hAnsi="黑体" w:eastAsia="仿宋_GB2312" w:cs="黑体"/>
                <w:b/>
                <w:bCs/>
                <w:color w:val="000000"/>
                <w:kern w:val="0"/>
                <w:sz w:val="28"/>
                <w:szCs w:val="28"/>
                <w:lang w:val="en-US" w:eastAsia="zh-CN"/>
              </w:rPr>
              <w:t>十四五</w:t>
            </w:r>
            <w:r>
              <w:rPr>
                <w:rFonts w:hint="eastAsia" w:ascii="仿宋_GB2312" w:hAnsi="黑体" w:eastAsia="仿宋_GB2312" w:cs="黑体"/>
                <w:b/>
                <w:bCs/>
                <w:color w:val="000000"/>
                <w:kern w:val="0"/>
                <w:sz w:val="28"/>
                <w:szCs w:val="28"/>
                <w:lang w:eastAsia="zh-CN"/>
              </w:rPr>
              <w:t>”</w:t>
            </w:r>
            <w:r>
              <w:rPr>
                <w:rFonts w:hint="eastAsia" w:ascii="仿宋_GB2312" w:hAnsi="黑体" w:eastAsia="仿宋_GB2312" w:cs="黑体"/>
                <w:b/>
                <w:bCs/>
                <w:color w:val="000000"/>
                <w:kern w:val="0"/>
                <w:sz w:val="28"/>
                <w:szCs w:val="28"/>
                <w:lang w:val="en-US" w:eastAsia="zh-CN"/>
              </w:rPr>
              <w:t>各市</w:t>
            </w:r>
            <w:r>
              <w:rPr>
                <w:rFonts w:hint="eastAsia" w:ascii="仿宋_GB2312" w:hAnsi="黑体" w:eastAsia="仿宋_GB2312" w:cs="黑体"/>
                <w:b/>
                <w:bCs/>
                <w:color w:val="000000"/>
                <w:kern w:val="0"/>
                <w:sz w:val="28"/>
                <w:szCs w:val="28"/>
              </w:rPr>
              <w:t>新能源汽车推广目标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3" w:hRule="atLeast"/>
          <w:jc w:val="center"/>
        </w:trPr>
        <w:tc>
          <w:tcPr>
            <w:tcW w:w="1532" w:type="dxa"/>
            <w:noWrap w:val="0"/>
            <w:vAlign w:val="center"/>
          </w:tcPr>
          <w:p>
            <w:pPr>
              <w:widowControl/>
              <w:spacing w:line="440" w:lineRule="exact"/>
              <w:jc w:val="center"/>
              <w:rPr>
                <w:rFonts w:hint="eastAsia" w:ascii="仿宋_GB2312" w:hAnsi="黑体" w:eastAsia="仿宋_GB2312" w:cs="黑体"/>
                <w:b/>
                <w:bCs/>
                <w:color w:val="000000"/>
                <w:kern w:val="0"/>
                <w:sz w:val="28"/>
                <w:szCs w:val="28"/>
              </w:rPr>
            </w:pPr>
            <w:r>
              <w:rPr>
                <w:rFonts w:hint="eastAsia" w:ascii="仿宋_GB2312" w:hAnsi="黑体" w:eastAsia="仿宋_GB2312" w:cs="黑体"/>
                <w:b/>
                <w:bCs/>
                <w:color w:val="000000"/>
                <w:kern w:val="0"/>
                <w:sz w:val="28"/>
                <w:szCs w:val="28"/>
              </w:rPr>
              <w:t>序号</w:t>
            </w:r>
          </w:p>
        </w:tc>
        <w:tc>
          <w:tcPr>
            <w:tcW w:w="2647" w:type="dxa"/>
            <w:noWrap w:val="0"/>
            <w:vAlign w:val="center"/>
          </w:tcPr>
          <w:p>
            <w:pPr>
              <w:widowControl/>
              <w:spacing w:line="440" w:lineRule="exact"/>
              <w:jc w:val="center"/>
              <w:rPr>
                <w:rFonts w:hint="eastAsia" w:ascii="仿宋_GB2312" w:hAnsi="黑体" w:eastAsia="仿宋_GB2312" w:cs="黑体"/>
                <w:b/>
                <w:bCs/>
                <w:color w:val="000000"/>
                <w:kern w:val="0"/>
                <w:sz w:val="28"/>
                <w:szCs w:val="28"/>
              </w:rPr>
            </w:pPr>
            <w:r>
              <w:rPr>
                <w:rFonts w:hint="eastAsia" w:ascii="仿宋_GB2312" w:hAnsi="黑体" w:eastAsia="仿宋_GB2312" w:cs="黑体"/>
                <w:b/>
                <w:bCs/>
                <w:color w:val="000000"/>
                <w:kern w:val="0"/>
                <w:sz w:val="28"/>
                <w:szCs w:val="28"/>
              </w:rPr>
              <w:t>地区</w:t>
            </w:r>
          </w:p>
        </w:tc>
        <w:tc>
          <w:tcPr>
            <w:tcW w:w="4294" w:type="dxa"/>
            <w:noWrap w:val="0"/>
            <w:vAlign w:val="center"/>
          </w:tcPr>
          <w:p>
            <w:pPr>
              <w:widowControl/>
              <w:spacing w:line="440" w:lineRule="exact"/>
              <w:jc w:val="center"/>
              <w:rPr>
                <w:rFonts w:hint="eastAsia" w:ascii="仿宋_GB2312" w:hAnsi="黑体" w:eastAsia="仿宋_GB2312" w:cs="黑体"/>
                <w:b/>
                <w:bCs/>
                <w:color w:val="000000"/>
                <w:kern w:val="0"/>
                <w:sz w:val="28"/>
                <w:szCs w:val="28"/>
              </w:rPr>
            </w:pPr>
            <w:r>
              <w:rPr>
                <w:rFonts w:hint="eastAsia" w:ascii="仿宋_GB2312" w:hAnsi="黑体" w:eastAsia="仿宋_GB2312" w:cs="黑体"/>
                <w:b/>
                <w:bCs/>
                <w:color w:val="000000"/>
                <w:kern w:val="0"/>
                <w:sz w:val="28"/>
                <w:szCs w:val="28"/>
              </w:rPr>
              <w:t>新增推广数量（</w:t>
            </w:r>
            <w:r>
              <w:rPr>
                <w:rFonts w:hint="eastAsia" w:ascii="仿宋_GB2312" w:hAnsi="黑体" w:eastAsia="仿宋_GB2312" w:cs="黑体"/>
                <w:b/>
                <w:bCs/>
                <w:color w:val="000000"/>
                <w:kern w:val="0"/>
                <w:sz w:val="28"/>
                <w:szCs w:val="28"/>
                <w:lang w:eastAsia="zh-CN"/>
              </w:rPr>
              <w:t>万</w:t>
            </w:r>
            <w:r>
              <w:rPr>
                <w:rFonts w:hint="eastAsia" w:ascii="仿宋_GB2312" w:hAnsi="黑体" w:eastAsia="仿宋_GB2312" w:cs="黑体"/>
                <w:b/>
                <w:bCs/>
                <w:color w:val="000000"/>
                <w:kern w:val="0"/>
                <w:sz w:val="28"/>
                <w:szCs w:val="28"/>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1532"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1</w:t>
            </w:r>
          </w:p>
        </w:tc>
        <w:tc>
          <w:tcPr>
            <w:tcW w:w="2647"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南宁市</w:t>
            </w:r>
          </w:p>
        </w:tc>
        <w:tc>
          <w:tcPr>
            <w:tcW w:w="4294"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7</w:t>
            </w:r>
            <w:r>
              <w:rPr>
                <w:rFonts w:hint="eastAsia" w:ascii="仿宋_GB2312" w:eastAsia="仿宋_GB2312" w:cs="宋体"/>
                <w:bCs/>
                <w:color w:val="000000"/>
                <w:kern w:val="0"/>
                <w:sz w:val="28"/>
                <w:szCs w:val="28"/>
                <w:lang w:val="en-US" w:eastAsia="zh-CN"/>
              </w:rPr>
              <w:t>.</w:t>
            </w:r>
            <w:r>
              <w:rPr>
                <w:rFonts w:hint="eastAsia" w:ascii="仿宋_GB2312" w:eastAsia="仿宋_GB2312" w:cs="宋体"/>
                <w:bCs/>
                <w:color w:val="000000"/>
                <w:kern w:val="0"/>
                <w:sz w:val="28"/>
                <w:szCs w:val="28"/>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1532"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2</w:t>
            </w:r>
          </w:p>
        </w:tc>
        <w:tc>
          <w:tcPr>
            <w:tcW w:w="2647"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柳州市</w:t>
            </w:r>
          </w:p>
        </w:tc>
        <w:tc>
          <w:tcPr>
            <w:tcW w:w="4294"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9</w:t>
            </w:r>
            <w:r>
              <w:rPr>
                <w:rFonts w:hint="eastAsia" w:ascii="仿宋_GB2312" w:eastAsia="仿宋_GB2312" w:cs="宋体"/>
                <w:bCs/>
                <w:color w:val="000000"/>
                <w:kern w:val="0"/>
                <w:sz w:val="28"/>
                <w:szCs w:val="28"/>
                <w:lang w:val="en-US" w:eastAsia="zh-CN"/>
              </w:rPr>
              <w:t>.</w:t>
            </w:r>
            <w:r>
              <w:rPr>
                <w:rFonts w:hint="eastAsia" w:ascii="仿宋_GB2312" w:eastAsia="仿宋_GB2312" w:cs="宋体"/>
                <w:bCs/>
                <w:color w:val="000000"/>
                <w:kern w:val="0"/>
                <w:sz w:val="28"/>
                <w:szCs w:val="28"/>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1532"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3</w:t>
            </w:r>
          </w:p>
        </w:tc>
        <w:tc>
          <w:tcPr>
            <w:tcW w:w="2647"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桂林市</w:t>
            </w:r>
          </w:p>
        </w:tc>
        <w:tc>
          <w:tcPr>
            <w:tcW w:w="4294"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4</w:t>
            </w:r>
            <w:r>
              <w:rPr>
                <w:rFonts w:hint="eastAsia" w:ascii="仿宋_GB2312" w:eastAsia="仿宋_GB2312" w:cs="宋体"/>
                <w:bCs/>
                <w:color w:val="000000"/>
                <w:kern w:val="0"/>
                <w:sz w:val="28"/>
                <w:szCs w:val="28"/>
                <w:lang w:val="en-US" w:eastAsia="zh-CN"/>
              </w:rPr>
              <w:t>.</w:t>
            </w:r>
            <w:r>
              <w:rPr>
                <w:rFonts w:hint="eastAsia" w:ascii="仿宋_GB2312" w:eastAsia="仿宋_GB2312" w:cs="宋体"/>
                <w:bCs/>
                <w:color w:val="000000"/>
                <w:kern w:val="0"/>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1532"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4</w:t>
            </w:r>
          </w:p>
        </w:tc>
        <w:tc>
          <w:tcPr>
            <w:tcW w:w="2647"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梧州市</w:t>
            </w:r>
          </w:p>
        </w:tc>
        <w:tc>
          <w:tcPr>
            <w:tcW w:w="4294"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3</w:t>
            </w:r>
            <w:r>
              <w:rPr>
                <w:rFonts w:hint="eastAsia" w:ascii="仿宋_GB2312" w:eastAsia="仿宋_GB2312" w:cs="宋体"/>
                <w:bCs/>
                <w:color w:val="000000"/>
                <w:kern w:val="0"/>
                <w:sz w:val="28"/>
                <w:szCs w:val="28"/>
                <w:lang w:val="en-US" w:eastAsia="zh-CN"/>
              </w:rPr>
              <w:t>.</w:t>
            </w:r>
            <w:r>
              <w:rPr>
                <w:rFonts w:hint="eastAsia" w:ascii="仿宋_GB2312" w:eastAsia="仿宋_GB2312" w:cs="宋体"/>
                <w:bCs/>
                <w:color w:val="000000"/>
                <w:kern w:val="0"/>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1532"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5</w:t>
            </w:r>
          </w:p>
        </w:tc>
        <w:tc>
          <w:tcPr>
            <w:tcW w:w="2647"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北海市</w:t>
            </w:r>
          </w:p>
        </w:tc>
        <w:tc>
          <w:tcPr>
            <w:tcW w:w="4294"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2</w:t>
            </w:r>
            <w:r>
              <w:rPr>
                <w:rFonts w:hint="eastAsia" w:ascii="仿宋_GB2312" w:eastAsia="仿宋_GB2312" w:cs="宋体"/>
                <w:bCs/>
                <w:color w:val="000000"/>
                <w:kern w:val="0"/>
                <w:sz w:val="28"/>
                <w:szCs w:val="28"/>
                <w:lang w:val="en-US" w:eastAsia="zh-CN"/>
              </w:rPr>
              <w:t>.</w:t>
            </w:r>
            <w:r>
              <w:rPr>
                <w:rFonts w:hint="eastAsia" w:ascii="仿宋_GB2312" w:eastAsia="仿宋_GB2312" w:cs="宋体"/>
                <w:bCs/>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1532"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6</w:t>
            </w:r>
          </w:p>
        </w:tc>
        <w:tc>
          <w:tcPr>
            <w:tcW w:w="2647"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防城港市</w:t>
            </w:r>
          </w:p>
        </w:tc>
        <w:tc>
          <w:tcPr>
            <w:tcW w:w="4294"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2</w:t>
            </w:r>
            <w:r>
              <w:rPr>
                <w:rFonts w:hint="eastAsia" w:ascii="仿宋_GB2312" w:eastAsia="仿宋_GB2312" w:cs="宋体"/>
                <w:bCs/>
                <w:color w:val="000000"/>
                <w:kern w:val="0"/>
                <w:sz w:val="28"/>
                <w:szCs w:val="28"/>
                <w:lang w:val="en-US" w:eastAsia="zh-CN"/>
              </w:rPr>
              <w:t>.</w:t>
            </w:r>
            <w:r>
              <w:rPr>
                <w:rFonts w:hint="eastAsia" w:ascii="仿宋_GB2312" w:eastAsia="仿宋_GB2312" w:cs="宋体"/>
                <w:bCs/>
                <w:color w:val="000000"/>
                <w:kern w:val="0"/>
                <w:sz w:val="28"/>
                <w:szCs w:val="2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1532"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7</w:t>
            </w:r>
          </w:p>
        </w:tc>
        <w:tc>
          <w:tcPr>
            <w:tcW w:w="2647"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钦州市</w:t>
            </w:r>
          </w:p>
        </w:tc>
        <w:tc>
          <w:tcPr>
            <w:tcW w:w="4294"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2</w:t>
            </w:r>
            <w:r>
              <w:rPr>
                <w:rFonts w:hint="eastAsia" w:ascii="仿宋_GB2312" w:eastAsia="仿宋_GB2312" w:cs="宋体"/>
                <w:bCs/>
                <w:color w:val="000000"/>
                <w:kern w:val="0"/>
                <w:sz w:val="28"/>
                <w:szCs w:val="28"/>
                <w:lang w:val="en-US" w:eastAsia="zh-CN"/>
              </w:rPr>
              <w:t>.</w:t>
            </w:r>
            <w:r>
              <w:rPr>
                <w:rFonts w:hint="eastAsia" w:ascii="仿宋_GB2312" w:eastAsia="仿宋_GB2312" w:cs="宋体"/>
                <w:bCs/>
                <w:color w:val="000000"/>
                <w:kern w:val="0"/>
                <w:sz w:val="28"/>
                <w:szCs w:val="28"/>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1532"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8</w:t>
            </w:r>
          </w:p>
        </w:tc>
        <w:tc>
          <w:tcPr>
            <w:tcW w:w="2647"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贵港市</w:t>
            </w:r>
          </w:p>
        </w:tc>
        <w:tc>
          <w:tcPr>
            <w:tcW w:w="4294"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3</w:t>
            </w:r>
            <w:r>
              <w:rPr>
                <w:rFonts w:hint="eastAsia" w:ascii="仿宋_GB2312" w:eastAsia="仿宋_GB2312" w:cs="宋体"/>
                <w:bCs/>
                <w:color w:val="000000"/>
                <w:kern w:val="0"/>
                <w:sz w:val="28"/>
                <w:szCs w:val="28"/>
                <w:lang w:val="en-US" w:eastAsia="zh-CN"/>
              </w:rPr>
              <w:t>.</w:t>
            </w:r>
            <w:r>
              <w:rPr>
                <w:rFonts w:hint="eastAsia" w:ascii="仿宋_GB2312" w:eastAsia="仿宋_GB2312" w:cs="宋体"/>
                <w:bCs/>
                <w:color w:val="000000"/>
                <w:kern w:val="0"/>
                <w:sz w:val="28"/>
                <w:szCs w:val="2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1532"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9</w:t>
            </w:r>
          </w:p>
        </w:tc>
        <w:tc>
          <w:tcPr>
            <w:tcW w:w="2647"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玉林市</w:t>
            </w:r>
          </w:p>
        </w:tc>
        <w:tc>
          <w:tcPr>
            <w:tcW w:w="4294"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3</w:t>
            </w:r>
            <w:r>
              <w:rPr>
                <w:rFonts w:hint="eastAsia" w:ascii="仿宋_GB2312" w:eastAsia="仿宋_GB2312" w:cs="宋体"/>
                <w:bCs/>
                <w:color w:val="000000"/>
                <w:kern w:val="0"/>
                <w:sz w:val="28"/>
                <w:szCs w:val="28"/>
                <w:lang w:val="en-US" w:eastAsia="zh-CN"/>
              </w:rPr>
              <w:t>.</w:t>
            </w:r>
            <w:r>
              <w:rPr>
                <w:rFonts w:hint="eastAsia" w:ascii="仿宋_GB2312" w:eastAsia="仿宋_GB2312" w:cs="宋体"/>
                <w:bCs/>
                <w:color w:val="000000"/>
                <w:kern w:val="0"/>
                <w:sz w:val="28"/>
                <w:szCs w:val="28"/>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1532"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10</w:t>
            </w:r>
          </w:p>
        </w:tc>
        <w:tc>
          <w:tcPr>
            <w:tcW w:w="2647"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百色市</w:t>
            </w:r>
          </w:p>
        </w:tc>
        <w:tc>
          <w:tcPr>
            <w:tcW w:w="4294"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3</w:t>
            </w:r>
            <w:r>
              <w:rPr>
                <w:rFonts w:hint="eastAsia" w:ascii="仿宋_GB2312" w:eastAsia="仿宋_GB2312" w:cs="宋体"/>
                <w:bCs/>
                <w:color w:val="000000"/>
                <w:kern w:val="0"/>
                <w:sz w:val="28"/>
                <w:szCs w:val="28"/>
                <w:lang w:val="en-US" w:eastAsia="zh-CN"/>
              </w:rPr>
              <w:t>.</w:t>
            </w:r>
            <w:r>
              <w:rPr>
                <w:rFonts w:hint="eastAsia" w:ascii="仿宋_GB2312" w:eastAsia="仿宋_GB2312" w:cs="宋体"/>
                <w:bCs/>
                <w:color w:val="000000"/>
                <w:kern w:val="0"/>
                <w:sz w:val="28"/>
                <w:szCs w:val="28"/>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1532"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11</w:t>
            </w:r>
          </w:p>
        </w:tc>
        <w:tc>
          <w:tcPr>
            <w:tcW w:w="2647"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贺州市</w:t>
            </w:r>
          </w:p>
        </w:tc>
        <w:tc>
          <w:tcPr>
            <w:tcW w:w="4294"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2</w:t>
            </w:r>
            <w:r>
              <w:rPr>
                <w:rFonts w:hint="eastAsia" w:ascii="仿宋_GB2312" w:eastAsia="仿宋_GB2312" w:cs="宋体"/>
                <w:bCs/>
                <w:color w:val="000000"/>
                <w:kern w:val="0"/>
                <w:sz w:val="28"/>
                <w:szCs w:val="28"/>
                <w:lang w:val="en-US" w:eastAsia="zh-CN"/>
              </w:rPr>
              <w:t>.</w:t>
            </w:r>
            <w:r>
              <w:rPr>
                <w:rFonts w:hint="eastAsia" w:ascii="仿宋_GB2312" w:eastAsia="仿宋_GB2312" w:cs="宋体"/>
                <w:bCs/>
                <w:color w:val="000000"/>
                <w:kern w:val="0"/>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1532"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12</w:t>
            </w:r>
          </w:p>
        </w:tc>
        <w:tc>
          <w:tcPr>
            <w:tcW w:w="2647"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河池市</w:t>
            </w:r>
          </w:p>
        </w:tc>
        <w:tc>
          <w:tcPr>
            <w:tcW w:w="4294"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2</w:t>
            </w:r>
            <w:r>
              <w:rPr>
                <w:rFonts w:hint="eastAsia" w:ascii="仿宋_GB2312" w:eastAsia="仿宋_GB2312" w:cs="宋体"/>
                <w:bCs/>
                <w:color w:val="000000"/>
                <w:kern w:val="0"/>
                <w:sz w:val="28"/>
                <w:szCs w:val="28"/>
                <w:lang w:val="en-US" w:eastAsia="zh-CN"/>
              </w:rPr>
              <w:t>.</w:t>
            </w:r>
            <w:r>
              <w:rPr>
                <w:rFonts w:hint="eastAsia" w:ascii="仿宋_GB2312" w:eastAsia="仿宋_GB2312" w:cs="宋体"/>
                <w:bCs/>
                <w:color w:val="000000"/>
                <w:kern w:val="0"/>
                <w:sz w:val="28"/>
                <w:szCs w:val="28"/>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1532"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13</w:t>
            </w:r>
          </w:p>
        </w:tc>
        <w:tc>
          <w:tcPr>
            <w:tcW w:w="2647"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来宾市</w:t>
            </w:r>
          </w:p>
        </w:tc>
        <w:tc>
          <w:tcPr>
            <w:tcW w:w="4294"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2</w:t>
            </w:r>
            <w:r>
              <w:rPr>
                <w:rFonts w:hint="eastAsia" w:ascii="仿宋_GB2312" w:eastAsia="仿宋_GB2312" w:cs="宋体"/>
                <w:bCs/>
                <w:color w:val="000000"/>
                <w:kern w:val="0"/>
                <w:sz w:val="28"/>
                <w:szCs w:val="28"/>
                <w:lang w:val="en-US" w:eastAsia="zh-CN"/>
              </w:rPr>
              <w:t>.</w:t>
            </w:r>
            <w:r>
              <w:rPr>
                <w:rFonts w:hint="eastAsia" w:ascii="仿宋_GB2312" w:eastAsia="仿宋_GB2312" w:cs="宋体"/>
                <w:bCs/>
                <w:color w:val="000000"/>
                <w:kern w:val="0"/>
                <w:sz w:val="28"/>
                <w:szCs w:val="2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0" w:hRule="atLeast"/>
          <w:jc w:val="center"/>
        </w:trPr>
        <w:tc>
          <w:tcPr>
            <w:tcW w:w="1532"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14</w:t>
            </w:r>
          </w:p>
        </w:tc>
        <w:tc>
          <w:tcPr>
            <w:tcW w:w="2647"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崇左市</w:t>
            </w:r>
          </w:p>
        </w:tc>
        <w:tc>
          <w:tcPr>
            <w:tcW w:w="4294"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2</w:t>
            </w:r>
            <w:r>
              <w:rPr>
                <w:rFonts w:hint="eastAsia" w:ascii="仿宋_GB2312" w:eastAsia="仿宋_GB2312" w:cs="宋体"/>
                <w:bCs/>
                <w:color w:val="000000"/>
                <w:kern w:val="0"/>
                <w:sz w:val="28"/>
                <w:szCs w:val="28"/>
                <w:lang w:val="en-US" w:eastAsia="zh-CN"/>
              </w:rPr>
              <w:t>.</w:t>
            </w:r>
            <w:r>
              <w:rPr>
                <w:rFonts w:hint="eastAsia" w:ascii="仿宋_GB2312" w:eastAsia="仿宋_GB2312" w:cs="宋体"/>
                <w:bCs/>
                <w:color w:val="000000"/>
                <w:kern w:val="0"/>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12" w:hRule="atLeast"/>
          <w:jc w:val="center"/>
        </w:trPr>
        <w:tc>
          <w:tcPr>
            <w:tcW w:w="4179" w:type="dxa"/>
            <w:gridSpan w:val="2"/>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rPr>
              <w:t>合计</w:t>
            </w:r>
          </w:p>
        </w:tc>
        <w:tc>
          <w:tcPr>
            <w:tcW w:w="4294"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52</w:t>
            </w:r>
            <w:r>
              <w:rPr>
                <w:rFonts w:hint="eastAsia" w:ascii="仿宋_GB2312" w:eastAsia="仿宋_GB2312" w:cs="宋体"/>
                <w:bCs/>
                <w:color w:val="000000"/>
                <w:kern w:val="0"/>
                <w:sz w:val="28"/>
                <w:szCs w:val="28"/>
                <w:lang w:val="en-US" w:eastAsia="zh-CN" w:bidi="ar"/>
              </w:rPr>
              <w:t>.</w:t>
            </w:r>
            <w:r>
              <w:rPr>
                <w:rFonts w:hint="eastAsia" w:ascii="仿宋_GB2312" w:eastAsia="仿宋_GB2312" w:cs="宋体"/>
                <w:bCs/>
                <w:color w:val="000000"/>
                <w:kern w:val="0"/>
                <w:sz w:val="28"/>
                <w:szCs w:val="28"/>
                <w:lang w:bidi="ar"/>
              </w:rPr>
              <w:t>20</w:t>
            </w:r>
          </w:p>
        </w:tc>
      </w:tr>
    </w:tbl>
    <w:p>
      <w:pPr>
        <w:pStyle w:val="2"/>
        <w:rPr>
          <w:rFonts w:hint="eastAsia"/>
        </w:rPr>
      </w:pPr>
    </w:p>
    <w:p>
      <w:pPr>
        <w:pStyle w:val="2"/>
        <w:rPr>
          <w:rFonts w:hint="eastAsia"/>
        </w:rPr>
      </w:pPr>
    </w:p>
    <w:p>
      <w:pPr>
        <w:pStyle w:val="2"/>
        <w:rPr>
          <w:rFonts w:hint="eastAsia"/>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11"/>
        <w:gridCol w:w="2331"/>
        <w:gridCol w:w="2227"/>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8473" w:type="dxa"/>
            <w:gridSpan w:val="5"/>
            <w:noWrap w:val="0"/>
            <w:vAlign w:val="center"/>
          </w:tcPr>
          <w:p>
            <w:pPr>
              <w:widowControl/>
              <w:spacing w:line="560" w:lineRule="exact"/>
              <w:jc w:val="center"/>
              <w:rPr>
                <w:rFonts w:hint="eastAsia" w:ascii="仿宋_GB2312" w:hAnsi="黑体" w:eastAsia="仿宋_GB2312" w:cs="黑体"/>
                <w:b/>
                <w:bCs/>
                <w:color w:val="000000"/>
                <w:kern w:val="0"/>
                <w:sz w:val="28"/>
                <w:szCs w:val="28"/>
              </w:rPr>
            </w:pPr>
            <w:r>
              <w:rPr>
                <w:rFonts w:hint="eastAsia" w:ascii="仿宋_GB2312" w:hAnsi="黑体" w:eastAsia="仿宋_GB2312" w:cs="黑体"/>
                <w:b/>
                <w:bCs/>
                <w:color w:val="000000"/>
                <w:kern w:val="0"/>
                <w:sz w:val="28"/>
                <w:szCs w:val="28"/>
              </w:rPr>
              <w:t xml:space="preserve">专栏二 </w:t>
            </w:r>
            <w:r>
              <w:rPr>
                <w:rFonts w:hint="eastAsia" w:ascii="仿宋_GB2312" w:hAnsi="黑体" w:eastAsia="仿宋_GB2312" w:cs="黑体"/>
                <w:b/>
                <w:bCs/>
                <w:color w:val="000000"/>
                <w:kern w:val="0"/>
                <w:sz w:val="28"/>
                <w:szCs w:val="28"/>
                <w:lang w:eastAsia="zh-CN"/>
              </w:rPr>
              <w:t>“</w:t>
            </w:r>
            <w:r>
              <w:rPr>
                <w:rFonts w:hint="eastAsia" w:ascii="仿宋_GB2312" w:hAnsi="黑体" w:eastAsia="仿宋_GB2312" w:cs="黑体"/>
                <w:b/>
                <w:bCs/>
                <w:color w:val="000000"/>
                <w:kern w:val="0"/>
                <w:sz w:val="28"/>
                <w:szCs w:val="28"/>
                <w:lang w:val="en-US" w:eastAsia="zh-CN"/>
              </w:rPr>
              <w:t>十四五</w:t>
            </w:r>
            <w:r>
              <w:rPr>
                <w:rFonts w:hint="eastAsia" w:ascii="仿宋_GB2312" w:hAnsi="黑体" w:eastAsia="仿宋_GB2312" w:cs="黑体"/>
                <w:b/>
                <w:bCs/>
                <w:color w:val="000000"/>
                <w:kern w:val="0"/>
                <w:sz w:val="28"/>
                <w:szCs w:val="28"/>
                <w:lang w:eastAsia="zh-CN"/>
              </w:rPr>
              <w:t>”</w:t>
            </w:r>
            <w:r>
              <w:rPr>
                <w:rFonts w:hint="eastAsia" w:ascii="仿宋_GB2312" w:hAnsi="黑体" w:eastAsia="仿宋_GB2312" w:cs="黑体"/>
                <w:b/>
                <w:bCs/>
                <w:color w:val="000000"/>
                <w:kern w:val="0"/>
                <w:sz w:val="28"/>
                <w:szCs w:val="28"/>
                <w:lang w:val="en-US" w:eastAsia="zh-CN"/>
              </w:rPr>
              <w:t>各市</w:t>
            </w:r>
            <w:r>
              <w:rPr>
                <w:rFonts w:hint="eastAsia" w:ascii="仿宋_GB2312" w:hAnsi="黑体" w:eastAsia="仿宋_GB2312" w:cs="黑体"/>
                <w:b/>
                <w:bCs/>
                <w:color w:val="000000"/>
                <w:kern w:val="0"/>
                <w:sz w:val="28"/>
                <w:szCs w:val="28"/>
              </w:rPr>
              <w:t>充电基础设施发展目标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3" w:hRule="atLeast"/>
          <w:tblHeader/>
          <w:jc w:val="center"/>
        </w:trPr>
        <w:tc>
          <w:tcPr>
            <w:tcW w:w="851" w:type="dxa"/>
            <w:noWrap w:val="0"/>
            <w:vAlign w:val="center"/>
          </w:tcPr>
          <w:p>
            <w:pPr>
              <w:widowControl/>
              <w:spacing w:line="440" w:lineRule="exact"/>
              <w:jc w:val="center"/>
              <w:rPr>
                <w:rFonts w:hint="eastAsia" w:ascii="仿宋_GB2312" w:hAnsi="黑体" w:eastAsia="仿宋_GB2312" w:cs="黑体"/>
                <w:b/>
                <w:bCs/>
                <w:color w:val="000000"/>
                <w:kern w:val="0"/>
                <w:sz w:val="28"/>
                <w:szCs w:val="28"/>
              </w:rPr>
            </w:pPr>
            <w:r>
              <w:rPr>
                <w:rFonts w:hint="eastAsia" w:ascii="仿宋_GB2312" w:hAnsi="黑体" w:eastAsia="仿宋_GB2312" w:cs="黑体"/>
                <w:b/>
                <w:bCs/>
                <w:color w:val="000000"/>
                <w:kern w:val="0"/>
                <w:sz w:val="28"/>
                <w:szCs w:val="28"/>
              </w:rPr>
              <w:t>序号</w:t>
            </w:r>
          </w:p>
        </w:tc>
        <w:tc>
          <w:tcPr>
            <w:tcW w:w="1511" w:type="dxa"/>
            <w:noWrap w:val="0"/>
            <w:vAlign w:val="center"/>
          </w:tcPr>
          <w:p>
            <w:pPr>
              <w:widowControl/>
              <w:spacing w:line="440" w:lineRule="exact"/>
              <w:jc w:val="center"/>
              <w:rPr>
                <w:rFonts w:hint="eastAsia" w:ascii="仿宋_GB2312" w:hAnsi="黑体" w:eastAsia="仿宋_GB2312" w:cs="黑体"/>
                <w:b/>
                <w:bCs/>
                <w:color w:val="000000"/>
                <w:kern w:val="0"/>
                <w:sz w:val="28"/>
                <w:szCs w:val="28"/>
              </w:rPr>
            </w:pPr>
            <w:r>
              <w:rPr>
                <w:rFonts w:hint="eastAsia" w:ascii="仿宋_GB2312" w:hAnsi="黑体" w:eastAsia="仿宋_GB2312" w:cs="黑体"/>
                <w:b/>
                <w:bCs/>
                <w:color w:val="000000"/>
                <w:kern w:val="0"/>
                <w:sz w:val="28"/>
                <w:szCs w:val="28"/>
              </w:rPr>
              <w:t>地区</w:t>
            </w:r>
          </w:p>
        </w:tc>
        <w:tc>
          <w:tcPr>
            <w:tcW w:w="2331" w:type="dxa"/>
            <w:noWrap w:val="0"/>
            <w:vAlign w:val="center"/>
          </w:tcPr>
          <w:p>
            <w:pPr>
              <w:widowControl/>
              <w:spacing w:line="440" w:lineRule="exact"/>
              <w:jc w:val="center"/>
              <w:rPr>
                <w:rFonts w:hint="eastAsia" w:ascii="仿宋_GB2312" w:hAnsi="黑体" w:eastAsia="仿宋_GB2312" w:cs="黑体"/>
                <w:b/>
                <w:bCs/>
                <w:color w:val="000000"/>
                <w:kern w:val="0"/>
                <w:sz w:val="28"/>
                <w:szCs w:val="28"/>
              </w:rPr>
            </w:pPr>
            <w:r>
              <w:rPr>
                <w:rFonts w:hint="eastAsia" w:ascii="仿宋_GB2312" w:hAnsi="黑体" w:eastAsia="仿宋_GB2312" w:cs="黑体"/>
                <w:b/>
                <w:bCs/>
                <w:color w:val="000000"/>
                <w:kern w:val="0"/>
                <w:sz w:val="28"/>
                <w:szCs w:val="28"/>
              </w:rPr>
              <w:t>新建快充桩（个）</w:t>
            </w:r>
          </w:p>
        </w:tc>
        <w:tc>
          <w:tcPr>
            <w:tcW w:w="2227" w:type="dxa"/>
            <w:noWrap w:val="0"/>
            <w:vAlign w:val="center"/>
          </w:tcPr>
          <w:p>
            <w:pPr>
              <w:widowControl/>
              <w:spacing w:line="440" w:lineRule="exact"/>
              <w:jc w:val="center"/>
              <w:rPr>
                <w:rFonts w:hint="eastAsia" w:ascii="仿宋_GB2312" w:hAnsi="黑体" w:eastAsia="仿宋_GB2312" w:cs="黑体"/>
                <w:b/>
                <w:bCs/>
                <w:color w:val="000000"/>
                <w:kern w:val="0"/>
                <w:sz w:val="28"/>
                <w:szCs w:val="28"/>
              </w:rPr>
            </w:pPr>
            <w:r>
              <w:rPr>
                <w:rFonts w:hint="eastAsia" w:ascii="仿宋_GB2312" w:hAnsi="黑体" w:eastAsia="仿宋_GB2312" w:cs="黑体"/>
                <w:b/>
                <w:bCs/>
                <w:color w:val="000000"/>
                <w:kern w:val="0"/>
                <w:sz w:val="28"/>
                <w:szCs w:val="28"/>
              </w:rPr>
              <w:t>新建慢充桩（个）</w:t>
            </w:r>
          </w:p>
        </w:tc>
        <w:tc>
          <w:tcPr>
            <w:tcW w:w="1553" w:type="dxa"/>
            <w:noWrap w:val="0"/>
            <w:vAlign w:val="center"/>
          </w:tcPr>
          <w:p>
            <w:pPr>
              <w:widowControl/>
              <w:spacing w:line="440" w:lineRule="exact"/>
              <w:jc w:val="center"/>
              <w:rPr>
                <w:rFonts w:hint="eastAsia" w:ascii="仿宋_GB2312" w:hAnsi="黑体" w:eastAsia="仿宋_GB2312" w:cs="黑体"/>
                <w:b/>
                <w:bCs/>
                <w:color w:val="000000"/>
                <w:kern w:val="0"/>
                <w:sz w:val="28"/>
                <w:szCs w:val="28"/>
              </w:rPr>
            </w:pPr>
            <w:r>
              <w:rPr>
                <w:rFonts w:hint="eastAsia" w:ascii="仿宋_GB2312" w:hAnsi="黑体" w:eastAsia="仿宋_GB2312" w:cs="黑体"/>
                <w:b/>
                <w:bCs/>
                <w:color w:val="000000"/>
                <w:kern w:val="0"/>
                <w:sz w:val="28"/>
                <w:szCs w:val="28"/>
              </w:rPr>
              <w:t>合计（个）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85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1</w:t>
            </w:r>
          </w:p>
        </w:tc>
        <w:tc>
          <w:tcPr>
            <w:tcW w:w="1511"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南宁市</w:t>
            </w:r>
          </w:p>
        </w:tc>
        <w:tc>
          <w:tcPr>
            <w:tcW w:w="233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4100</w:t>
            </w:r>
          </w:p>
        </w:tc>
        <w:tc>
          <w:tcPr>
            <w:tcW w:w="2227"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8200</w:t>
            </w:r>
          </w:p>
        </w:tc>
        <w:tc>
          <w:tcPr>
            <w:tcW w:w="1553"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12300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85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2</w:t>
            </w:r>
          </w:p>
        </w:tc>
        <w:tc>
          <w:tcPr>
            <w:tcW w:w="1511"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柳州市</w:t>
            </w:r>
          </w:p>
        </w:tc>
        <w:tc>
          <w:tcPr>
            <w:tcW w:w="233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2300</w:t>
            </w:r>
          </w:p>
        </w:tc>
        <w:tc>
          <w:tcPr>
            <w:tcW w:w="2227"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4600</w:t>
            </w:r>
          </w:p>
        </w:tc>
        <w:tc>
          <w:tcPr>
            <w:tcW w:w="1553"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85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3</w:t>
            </w:r>
          </w:p>
        </w:tc>
        <w:tc>
          <w:tcPr>
            <w:tcW w:w="1511"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桂林市</w:t>
            </w:r>
          </w:p>
        </w:tc>
        <w:tc>
          <w:tcPr>
            <w:tcW w:w="233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2200</w:t>
            </w:r>
          </w:p>
        </w:tc>
        <w:tc>
          <w:tcPr>
            <w:tcW w:w="2227"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4500</w:t>
            </w:r>
          </w:p>
        </w:tc>
        <w:tc>
          <w:tcPr>
            <w:tcW w:w="1553"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85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4</w:t>
            </w:r>
          </w:p>
        </w:tc>
        <w:tc>
          <w:tcPr>
            <w:tcW w:w="1511"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梧州市</w:t>
            </w:r>
          </w:p>
        </w:tc>
        <w:tc>
          <w:tcPr>
            <w:tcW w:w="233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1700</w:t>
            </w:r>
          </w:p>
        </w:tc>
        <w:tc>
          <w:tcPr>
            <w:tcW w:w="2227"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3500</w:t>
            </w:r>
          </w:p>
        </w:tc>
        <w:tc>
          <w:tcPr>
            <w:tcW w:w="1553"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85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5</w:t>
            </w:r>
          </w:p>
        </w:tc>
        <w:tc>
          <w:tcPr>
            <w:tcW w:w="1511"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北海市</w:t>
            </w:r>
          </w:p>
        </w:tc>
        <w:tc>
          <w:tcPr>
            <w:tcW w:w="233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1300</w:t>
            </w:r>
          </w:p>
        </w:tc>
        <w:tc>
          <w:tcPr>
            <w:tcW w:w="2227"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2600</w:t>
            </w:r>
          </w:p>
        </w:tc>
        <w:tc>
          <w:tcPr>
            <w:tcW w:w="1553"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85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6</w:t>
            </w:r>
          </w:p>
        </w:tc>
        <w:tc>
          <w:tcPr>
            <w:tcW w:w="1511"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防城港市</w:t>
            </w:r>
          </w:p>
        </w:tc>
        <w:tc>
          <w:tcPr>
            <w:tcW w:w="233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1700</w:t>
            </w:r>
          </w:p>
        </w:tc>
        <w:tc>
          <w:tcPr>
            <w:tcW w:w="2227"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3400</w:t>
            </w:r>
          </w:p>
        </w:tc>
        <w:tc>
          <w:tcPr>
            <w:tcW w:w="1553"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85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7</w:t>
            </w:r>
          </w:p>
        </w:tc>
        <w:tc>
          <w:tcPr>
            <w:tcW w:w="1511"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钦州市</w:t>
            </w:r>
          </w:p>
        </w:tc>
        <w:tc>
          <w:tcPr>
            <w:tcW w:w="233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1600</w:t>
            </w:r>
          </w:p>
        </w:tc>
        <w:tc>
          <w:tcPr>
            <w:tcW w:w="2227"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3300</w:t>
            </w:r>
          </w:p>
        </w:tc>
        <w:tc>
          <w:tcPr>
            <w:tcW w:w="1553"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85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8</w:t>
            </w:r>
          </w:p>
        </w:tc>
        <w:tc>
          <w:tcPr>
            <w:tcW w:w="1511"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贵港市</w:t>
            </w:r>
          </w:p>
        </w:tc>
        <w:tc>
          <w:tcPr>
            <w:tcW w:w="233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1900</w:t>
            </w:r>
          </w:p>
        </w:tc>
        <w:tc>
          <w:tcPr>
            <w:tcW w:w="2227"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3900</w:t>
            </w:r>
          </w:p>
        </w:tc>
        <w:tc>
          <w:tcPr>
            <w:tcW w:w="1553"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85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9</w:t>
            </w:r>
          </w:p>
        </w:tc>
        <w:tc>
          <w:tcPr>
            <w:tcW w:w="1511"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玉林市</w:t>
            </w:r>
          </w:p>
        </w:tc>
        <w:tc>
          <w:tcPr>
            <w:tcW w:w="233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1900</w:t>
            </w:r>
          </w:p>
        </w:tc>
        <w:tc>
          <w:tcPr>
            <w:tcW w:w="2227"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3800</w:t>
            </w:r>
          </w:p>
        </w:tc>
        <w:tc>
          <w:tcPr>
            <w:tcW w:w="1553"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85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10</w:t>
            </w:r>
          </w:p>
        </w:tc>
        <w:tc>
          <w:tcPr>
            <w:tcW w:w="1511"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百色市</w:t>
            </w:r>
          </w:p>
        </w:tc>
        <w:tc>
          <w:tcPr>
            <w:tcW w:w="233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1900</w:t>
            </w:r>
          </w:p>
        </w:tc>
        <w:tc>
          <w:tcPr>
            <w:tcW w:w="2227"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3800</w:t>
            </w:r>
          </w:p>
        </w:tc>
        <w:tc>
          <w:tcPr>
            <w:tcW w:w="1553"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85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11</w:t>
            </w:r>
          </w:p>
        </w:tc>
        <w:tc>
          <w:tcPr>
            <w:tcW w:w="1511"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贺州市</w:t>
            </w:r>
          </w:p>
        </w:tc>
        <w:tc>
          <w:tcPr>
            <w:tcW w:w="233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1600</w:t>
            </w:r>
          </w:p>
        </w:tc>
        <w:tc>
          <w:tcPr>
            <w:tcW w:w="2227"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3100</w:t>
            </w:r>
          </w:p>
        </w:tc>
        <w:tc>
          <w:tcPr>
            <w:tcW w:w="1553"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85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12</w:t>
            </w:r>
          </w:p>
        </w:tc>
        <w:tc>
          <w:tcPr>
            <w:tcW w:w="1511"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河池市</w:t>
            </w:r>
          </w:p>
        </w:tc>
        <w:tc>
          <w:tcPr>
            <w:tcW w:w="233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1600</w:t>
            </w:r>
          </w:p>
        </w:tc>
        <w:tc>
          <w:tcPr>
            <w:tcW w:w="2227"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3100</w:t>
            </w:r>
          </w:p>
        </w:tc>
        <w:tc>
          <w:tcPr>
            <w:tcW w:w="1553"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jc w:val="center"/>
        </w:trPr>
        <w:tc>
          <w:tcPr>
            <w:tcW w:w="85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13</w:t>
            </w:r>
          </w:p>
        </w:tc>
        <w:tc>
          <w:tcPr>
            <w:tcW w:w="1511"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来宾市</w:t>
            </w:r>
          </w:p>
        </w:tc>
        <w:tc>
          <w:tcPr>
            <w:tcW w:w="233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1400</w:t>
            </w:r>
          </w:p>
        </w:tc>
        <w:tc>
          <w:tcPr>
            <w:tcW w:w="2227"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2900</w:t>
            </w:r>
          </w:p>
        </w:tc>
        <w:tc>
          <w:tcPr>
            <w:tcW w:w="1553"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0" w:hRule="atLeast"/>
          <w:jc w:val="center"/>
        </w:trPr>
        <w:tc>
          <w:tcPr>
            <w:tcW w:w="85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14</w:t>
            </w:r>
          </w:p>
        </w:tc>
        <w:tc>
          <w:tcPr>
            <w:tcW w:w="1511" w:type="dxa"/>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lang w:bidi="ar"/>
              </w:rPr>
              <w:t>崇左市</w:t>
            </w:r>
          </w:p>
        </w:tc>
        <w:tc>
          <w:tcPr>
            <w:tcW w:w="233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1400</w:t>
            </w:r>
          </w:p>
        </w:tc>
        <w:tc>
          <w:tcPr>
            <w:tcW w:w="2227"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2700</w:t>
            </w:r>
          </w:p>
        </w:tc>
        <w:tc>
          <w:tcPr>
            <w:tcW w:w="1553"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12" w:hRule="atLeast"/>
          <w:jc w:val="center"/>
        </w:trPr>
        <w:tc>
          <w:tcPr>
            <w:tcW w:w="2362" w:type="dxa"/>
            <w:gridSpan w:val="2"/>
            <w:noWrap w:val="0"/>
            <w:vAlign w:val="center"/>
          </w:tcPr>
          <w:p>
            <w:pPr>
              <w:widowControl/>
              <w:spacing w:line="440" w:lineRule="exact"/>
              <w:jc w:val="center"/>
              <w:rPr>
                <w:rFonts w:hint="eastAsia" w:ascii="仿宋_GB2312" w:eastAsia="仿宋_GB2312" w:cs="宋体"/>
                <w:bCs/>
                <w:color w:val="000000"/>
                <w:kern w:val="0"/>
                <w:sz w:val="28"/>
                <w:szCs w:val="28"/>
                <w:lang w:bidi="ar"/>
              </w:rPr>
            </w:pPr>
            <w:r>
              <w:rPr>
                <w:rFonts w:hint="eastAsia" w:ascii="仿宋_GB2312" w:eastAsia="仿宋_GB2312" w:cs="宋体"/>
                <w:bCs/>
                <w:color w:val="000000"/>
                <w:kern w:val="0"/>
                <w:sz w:val="28"/>
                <w:szCs w:val="28"/>
              </w:rPr>
              <w:t>总计</w:t>
            </w:r>
          </w:p>
        </w:tc>
        <w:tc>
          <w:tcPr>
            <w:tcW w:w="2331"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26600</w:t>
            </w:r>
          </w:p>
        </w:tc>
        <w:tc>
          <w:tcPr>
            <w:tcW w:w="2227"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53400</w:t>
            </w:r>
          </w:p>
        </w:tc>
        <w:tc>
          <w:tcPr>
            <w:tcW w:w="1553" w:type="dxa"/>
            <w:noWrap w:val="0"/>
            <w:vAlign w:val="center"/>
          </w:tcPr>
          <w:p>
            <w:pPr>
              <w:widowControl/>
              <w:spacing w:line="440" w:lineRule="exact"/>
              <w:jc w:val="center"/>
              <w:rPr>
                <w:rFonts w:hint="eastAsia" w:ascii="仿宋_GB2312" w:eastAsia="仿宋_GB2312" w:cs="宋体"/>
                <w:bCs/>
                <w:color w:val="000000"/>
                <w:kern w:val="0"/>
                <w:sz w:val="28"/>
                <w:szCs w:val="28"/>
              </w:rPr>
            </w:pPr>
            <w:r>
              <w:rPr>
                <w:rFonts w:hint="eastAsia" w:ascii="仿宋_GB2312" w:eastAsia="仿宋_GB2312" w:cs="宋体"/>
                <w:bCs/>
                <w:color w:val="000000"/>
                <w:kern w:val="0"/>
                <w:sz w:val="28"/>
                <w:szCs w:val="28"/>
              </w:rPr>
              <w:t>8</w:t>
            </w:r>
            <w:r>
              <w:rPr>
                <w:rFonts w:ascii="仿宋_GB2312" w:eastAsia="仿宋_GB2312" w:cs="宋体"/>
                <w:bCs/>
                <w:color w:val="000000"/>
                <w:kern w:val="0"/>
                <w:sz w:val="28"/>
                <w:szCs w:val="28"/>
              </w:rPr>
              <w:t>0000</w:t>
            </w:r>
          </w:p>
        </w:tc>
      </w:tr>
    </w:tbl>
    <w:p>
      <w:pPr>
        <w:pStyle w:val="39"/>
        <w:numPr>
          <w:ilvl w:val="0"/>
          <w:numId w:val="1"/>
        </w:numPr>
        <w:spacing w:before="0" w:line="600" w:lineRule="exact"/>
        <w:ind w:firstLine="643" w:firstLineChars="200"/>
        <w:outlineLvl w:val="0"/>
        <w:rPr>
          <w:rFonts w:hint="eastAsia" w:ascii="黑体" w:hAnsi="黑体" w:eastAsia="黑体" w:cs="黑体"/>
          <w:b/>
          <w:bCs/>
          <w:szCs w:val="32"/>
        </w:rPr>
      </w:pPr>
      <w:bookmarkStart w:id="58" w:name="_Toc30434"/>
      <w:bookmarkStart w:id="59" w:name="_Toc58249268"/>
      <w:bookmarkStart w:id="60" w:name="_Toc82509858"/>
      <w:bookmarkStart w:id="61" w:name="_Toc19971"/>
      <w:bookmarkStart w:id="62" w:name="_Toc27820"/>
      <w:r>
        <w:rPr>
          <w:rFonts w:hint="eastAsia" w:ascii="黑体" w:hAnsi="黑体" w:eastAsia="黑体" w:cs="黑体"/>
          <w:b/>
          <w:bCs/>
          <w:szCs w:val="32"/>
        </w:rPr>
        <w:t>重点任务</w:t>
      </w:r>
      <w:bookmarkEnd w:id="58"/>
      <w:bookmarkEnd w:id="59"/>
      <w:bookmarkEnd w:id="60"/>
      <w:bookmarkEnd w:id="61"/>
      <w:bookmarkEnd w:id="62"/>
    </w:p>
    <w:p>
      <w:pPr>
        <w:pStyle w:val="4"/>
        <w:widowControl w:val="0"/>
        <w:numPr>
          <w:ilvl w:val="0"/>
          <w:numId w:val="5"/>
        </w:numPr>
        <w:spacing w:before="0" w:after="0" w:line="600" w:lineRule="exact"/>
        <w:ind w:firstLine="643" w:firstLineChars="200"/>
        <w:jc w:val="both"/>
        <w:rPr>
          <w:rFonts w:hint="eastAsia" w:ascii="楷体" w:hAnsi="楷体" w:eastAsia="楷体" w:cs="楷体"/>
          <w:bCs w:val="0"/>
          <w:kern w:val="2"/>
        </w:rPr>
      </w:pPr>
      <w:bookmarkStart w:id="63" w:name="_Toc14315"/>
      <w:bookmarkStart w:id="64" w:name="_Toc82509859"/>
      <w:bookmarkStart w:id="65" w:name="_Toc17826"/>
      <w:bookmarkStart w:id="66" w:name="_Toc58249269"/>
      <w:bookmarkStart w:id="67" w:name="_Toc6743"/>
      <w:r>
        <w:rPr>
          <w:rFonts w:hint="eastAsia" w:ascii="楷体" w:hAnsi="楷体" w:eastAsia="楷体" w:cs="楷体"/>
          <w:bCs w:val="0"/>
          <w:kern w:val="2"/>
        </w:rPr>
        <w:t>加快充电基础设施建设布局</w:t>
      </w:r>
      <w:bookmarkEnd w:id="63"/>
      <w:bookmarkEnd w:id="64"/>
      <w:bookmarkEnd w:id="65"/>
      <w:bookmarkEnd w:id="66"/>
      <w:bookmarkEnd w:id="67"/>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推进公共场所专用充电基础设施全覆盖。</w:t>
      </w:r>
      <w:r>
        <w:rPr>
          <w:rFonts w:hint="eastAsia" w:ascii="仿宋_GB2312" w:hAnsi="仿宋_GB2312" w:eastAsia="仿宋_GB2312" w:cs="仿宋_GB2312"/>
          <w:sz w:val="32"/>
          <w:szCs w:val="32"/>
        </w:rPr>
        <w:t>集中力量在工业园区、大型商超、商务楼宇、文体场馆、医院、宾馆、展馆、游客集散中心等重点</w:t>
      </w:r>
      <w:r>
        <w:rPr>
          <w:rFonts w:hint="default" w:ascii="仿宋_GB2312" w:hAnsi="仿宋_GB2312" w:eastAsia="仿宋_GB2312" w:cs="仿宋_GB2312"/>
          <w:sz w:val="32"/>
          <w:szCs w:val="32"/>
        </w:rPr>
        <w:t>区域</w:t>
      </w:r>
      <w:r>
        <w:rPr>
          <w:rFonts w:hint="eastAsia" w:ascii="仿宋_GB2312" w:hAnsi="仿宋_GB2312" w:eastAsia="仿宋_GB2312" w:cs="仿宋_GB2312"/>
          <w:sz w:val="32"/>
          <w:szCs w:val="32"/>
        </w:rPr>
        <w:t>以及有条件的高等院校、中职学校、培训机构</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建设充电基础设施。进一步加大公交、城/乡际客运、机场专线、旅游专线等定点定线运行公共服务领域电动汽车停车场站配建充电基础设施建设力度，持续提高充电服务能力。在出租、分时租赁等非定点定线运营的公共服务领域，充分挖掘单位内部停车场站配建充电基础设施的潜力。在驾驶培训、驾驶考试等行业场所配套建设充电基础设施。加快城镇</w:t>
      </w:r>
      <w:r>
        <w:rPr>
          <w:rFonts w:ascii="仿宋_GB2312" w:hAnsi="仿宋_GB2312" w:eastAsia="仿宋_GB2312" w:cs="仿宋_GB2312"/>
          <w:sz w:val="32"/>
          <w:szCs w:val="32"/>
        </w:rPr>
        <w:t>人口集中区</w:t>
      </w:r>
      <w:r>
        <w:rPr>
          <w:rFonts w:hint="eastAsia" w:ascii="仿宋_GB2312" w:hAnsi="仿宋_GB2312" w:eastAsia="仿宋_GB2312" w:cs="仿宋_GB2312"/>
          <w:sz w:val="32"/>
          <w:szCs w:val="32"/>
        </w:rPr>
        <w:t>充电设施布局，遵循从中心向边缘，从优先发展区域向一般区域有序拓展的原则，逐步加密公用充电设施</w:t>
      </w:r>
      <w:r>
        <w:rPr>
          <w:rFonts w:hint="default" w:ascii="仿宋_GB2312" w:hAnsi="仿宋_GB2312" w:eastAsia="仿宋_GB2312" w:cs="仿宋_GB2312"/>
          <w:sz w:val="32"/>
          <w:szCs w:val="32"/>
        </w:rPr>
        <w:t>网络</w:t>
      </w:r>
      <w:r>
        <w:rPr>
          <w:rFonts w:hint="eastAsia" w:ascii="仿宋_GB2312" w:hAnsi="仿宋_GB2312" w:eastAsia="仿宋_GB2312" w:cs="仿宋_GB2312"/>
          <w:sz w:val="32"/>
          <w:szCs w:val="32"/>
        </w:rPr>
        <w:t>。</w:t>
      </w:r>
    </w:p>
    <w:p>
      <w:pPr>
        <w:spacing w:line="600" w:lineRule="exact"/>
        <w:ind w:firstLine="643" w:firstLineChars="200"/>
        <w:rPr>
          <w:rFonts w:hint="eastAsia" w:hAnsi="仿宋_GB2312" w:cs="仿宋_GB2312"/>
          <w:sz w:val="32"/>
          <w:szCs w:val="32"/>
        </w:rPr>
      </w:pPr>
      <w:r>
        <w:rPr>
          <w:rFonts w:hint="eastAsia" w:ascii="仿宋_GB2312" w:hAnsi="仿宋_GB2312" w:eastAsia="仿宋_GB2312" w:cs="仿宋_GB2312"/>
          <w:b/>
          <w:bCs/>
          <w:sz w:val="32"/>
          <w:szCs w:val="32"/>
        </w:rPr>
        <w:t>加快完善城市公共充电网络。</w:t>
      </w:r>
      <w:r>
        <w:rPr>
          <w:rFonts w:hint="eastAsia" w:ascii="仿宋_GB2312" w:hAnsi="仿宋_GB2312" w:eastAsia="仿宋_GB2312" w:cs="仿宋_GB2312"/>
          <w:sz w:val="32"/>
          <w:szCs w:val="32"/>
        </w:rPr>
        <w:t>重点在交通枢纽、驻车换乘</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P+R</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、旅游景区等公共停车场加快建设充电基础设施。加快高速公路建桩布局，新建高速公路服务区应同步建设充电</w:t>
      </w:r>
      <w:r>
        <w:rPr>
          <w:rFonts w:hint="default" w:ascii="仿宋_GB2312" w:hAnsi="仿宋_GB2312" w:eastAsia="仿宋_GB2312" w:cs="仿宋_GB2312"/>
          <w:sz w:val="32"/>
          <w:szCs w:val="32"/>
        </w:rPr>
        <w:t>基础</w:t>
      </w:r>
      <w:r>
        <w:rPr>
          <w:rFonts w:hint="eastAsia" w:ascii="仿宋_GB2312" w:hAnsi="仿宋_GB2312" w:eastAsia="仿宋_GB2312" w:cs="仿宋_GB2312"/>
          <w:sz w:val="32"/>
          <w:szCs w:val="32"/>
        </w:rPr>
        <w:t>设施或预留建设安装条件，加快既有</w:t>
      </w:r>
      <w:r>
        <w:rPr>
          <w:rFonts w:hint="default" w:ascii="仿宋_GB2312" w:hAnsi="仿宋_GB2312" w:eastAsia="仿宋_GB2312" w:cs="仿宋_GB2312"/>
          <w:sz w:val="32"/>
          <w:szCs w:val="32"/>
        </w:rPr>
        <w:t>高速</w:t>
      </w:r>
      <w:r>
        <w:rPr>
          <w:rFonts w:hint="eastAsia" w:ascii="仿宋_GB2312" w:hAnsi="仿宋_GB2312" w:eastAsia="仿宋_GB2312" w:cs="仿宋_GB2312"/>
          <w:sz w:val="32"/>
          <w:szCs w:val="32"/>
        </w:rPr>
        <w:t>公路服务区充电</w:t>
      </w:r>
      <w:r>
        <w:rPr>
          <w:rFonts w:hint="default" w:ascii="仿宋_GB2312" w:hAnsi="仿宋_GB2312" w:eastAsia="仿宋_GB2312" w:cs="仿宋_GB2312"/>
          <w:sz w:val="32"/>
          <w:szCs w:val="32"/>
        </w:rPr>
        <w:t>基础</w:t>
      </w:r>
      <w:r>
        <w:rPr>
          <w:rFonts w:hint="eastAsia" w:ascii="仿宋_GB2312" w:hAnsi="仿宋_GB2312" w:eastAsia="仿宋_GB2312" w:cs="仿宋_GB2312"/>
          <w:sz w:val="32"/>
          <w:szCs w:val="32"/>
        </w:rPr>
        <w:t>设施建设和改造，加快推进国省</w:t>
      </w:r>
      <w:r>
        <w:rPr>
          <w:rFonts w:hint="eastAsia" w:ascii="仿宋_GB2312" w:hAnsi="仿宋_GB2312" w:eastAsia="仿宋_GB2312" w:cs="仿宋_GB2312"/>
          <w:sz w:val="32"/>
          <w:szCs w:val="32"/>
          <w:lang w:val="en-US" w:eastAsia="zh-CN"/>
        </w:rPr>
        <w:t>干</w:t>
      </w:r>
      <w:r>
        <w:rPr>
          <w:rFonts w:hint="eastAsia" w:ascii="仿宋_GB2312" w:hAnsi="仿宋_GB2312" w:eastAsia="仿宋_GB2312" w:cs="仿宋_GB2312"/>
          <w:sz w:val="32"/>
          <w:szCs w:val="32"/>
        </w:rPr>
        <w:t>道沿线充电</w:t>
      </w:r>
      <w:r>
        <w:rPr>
          <w:rFonts w:hint="default" w:ascii="仿宋_GB2312" w:hAnsi="仿宋_GB2312" w:eastAsia="仿宋_GB2312" w:cs="仿宋_GB2312"/>
          <w:sz w:val="32"/>
          <w:szCs w:val="32"/>
        </w:rPr>
        <w:t>基础</w:t>
      </w:r>
      <w:r>
        <w:rPr>
          <w:rFonts w:hint="eastAsia" w:ascii="仿宋_GB2312" w:hAnsi="仿宋_GB2312" w:eastAsia="仿宋_GB2312" w:cs="仿宋_GB2312"/>
          <w:sz w:val="32"/>
          <w:szCs w:val="32"/>
          <w:lang w:val="en-US" w:eastAsia="zh-CN"/>
        </w:rPr>
        <w:t>设施</w:t>
      </w:r>
      <w:r>
        <w:rPr>
          <w:rFonts w:hint="eastAsia" w:ascii="仿宋_GB2312" w:hAnsi="仿宋_GB2312" w:eastAsia="仿宋_GB2312" w:cs="仿宋_GB2312"/>
          <w:sz w:val="32"/>
          <w:szCs w:val="32"/>
        </w:rPr>
        <w:t>建设，实现高速公路、国省</w:t>
      </w:r>
      <w:r>
        <w:rPr>
          <w:rFonts w:hint="eastAsia" w:ascii="仿宋_GB2312" w:hAnsi="仿宋_GB2312" w:eastAsia="仿宋_GB2312" w:cs="仿宋_GB2312"/>
          <w:sz w:val="32"/>
          <w:szCs w:val="32"/>
          <w:lang w:val="en-US" w:eastAsia="zh-CN"/>
        </w:rPr>
        <w:t>干</w:t>
      </w:r>
      <w:r>
        <w:rPr>
          <w:rFonts w:hint="eastAsia" w:ascii="仿宋_GB2312" w:hAnsi="仿宋_GB2312" w:eastAsia="仿宋_GB2312" w:cs="仿宋_GB2312"/>
          <w:sz w:val="32"/>
          <w:szCs w:val="32"/>
        </w:rPr>
        <w:t>道</w:t>
      </w:r>
      <w:r>
        <w:rPr>
          <w:rFonts w:hint="eastAsia" w:ascii="仿宋_GB2312" w:hAnsi="仿宋_GB2312" w:eastAsia="仿宋_GB2312" w:cs="仿宋_GB2312"/>
          <w:sz w:val="32"/>
          <w:szCs w:val="32"/>
          <w:lang w:eastAsia="zh-CN"/>
        </w:rPr>
        <w:t>服务区和加油站</w:t>
      </w:r>
      <w:r>
        <w:rPr>
          <w:rFonts w:hint="eastAsia" w:ascii="仿宋_GB2312" w:hAnsi="仿宋_GB2312" w:eastAsia="仿宋_GB2312" w:cs="仿宋_GB2312"/>
          <w:sz w:val="32"/>
          <w:szCs w:val="32"/>
        </w:rPr>
        <w:t>充电设施全覆盖。加快推进环卫停车场、机场及港口内部停车区、物流园区及快递企业停车场、企事</w:t>
      </w:r>
      <w:r>
        <w:rPr>
          <w:rFonts w:hint="default" w:ascii="仿宋_GB2312" w:hAnsi="仿宋_GB2312" w:eastAsia="仿宋_GB2312" w:cs="仿宋_GB2312"/>
          <w:sz w:val="32"/>
          <w:szCs w:val="32"/>
        </w:rPr>
        <w:t>业</w:t>
      </w:r>
      <w:r>
        <w:rPr>
          <w:rFonts w:hint="eastAsia" w:ascii="仿宋_GB2312" w:hAnsi="仿宋_GB2312" w:eastAsia="仿宋_GB2312" w:cs="仿宋_GB2312"/>
          <w:sz w:val="32"/>
          <w:szCs w:val="32"/>
        </w:rPr>
        <w:t>单位内部停车场、党政机关内部停车场、公安机关停车位等建设专用充电</w:t>
      </w:r>
      <w:r>
        <w:rPr>
          <w:rFonts w:hint="default" w:ascii="仿宋_GB2312" w:hAnsi="仿宋_GB2312" w:eastAsia="仿宋_GB2312" w:cs="仿宋_GB2312"/>
          <w:sz w:val="32"/>
          <w:szCs w:val="32"/>
        </w:rPr>
        <w:t>基础</w:t>
      </w:r>
      <w:r>
        <w:rPr>
          <w:rFonts w:hint="eastAsia" w:ascii="仿宋_GB2312" w:hAnsi="仿宋_GB2312" w:eastAsia="仿宋_GB2312" w:cs="仿宋_GB2312"/>
          <w:sz w:val="32"/>
          <w:szCs w:val="32"/>
        </w:rPr>
        <w:t>设施。严格落实住宅小区配建停车指标，新建住宅小区停车位应100%建设充电基础设施或预留建设安装条件。加快老旧小区改造配建充电基础设施，支持在业主产权车位、公共停车位上安装充电基础设施。发展移动充电、分散式充电桩群和立体式停车充电基础设施，充分利用5G 物联网技术，建设分时共享的充电基础设施。</w:t>
      </w:r>
      <w:r>
        <w:rPr>
          <w:rFonts w:hint="eastAsia" w:hAnsi="仿宋_GB2312" w:cs="仿宋_GB2312"/>
          <w:sz w:val="32"/>
          <w:szCs w:val="32"/>
        </w:rPr>
        <w:t xml:space="preserve"> </w:t>
      </w:r>
    </w:p>
    <w:p>
      <w:pPr>
        <w:pStyle w:val="2"/>
        <w:ind w:firstLine="640"/>
        <w:rPr>
          <w:rFonts w:hAnsi="仿宋_GB2312"/>
          <w:sz w:val="32"/>
          <w:szCs w:val="32"/>
        </w:rPr>
      </w:pPr>
      <w:r>
        <w:rPr>
          <w:rFonts w:hint="eastAsia" w:hAnsi="仿宋_GB2312"/>
          <w:b/>
          <w:bCs/>
          <w:sz w:val="32"/>
          <w:szCs w:val="32"/>
        </w:rPr>
        <w:t>延伸乡镇充电服务网络。</w:t>
      </w:r>
      <w:r>
        <w:rPr>
          <w:rFonts w:hint="eastAsia" w:hAnsi="仿宋_GB2312"/>
          <w:sz w:val="32"/>
          <w:szCs w:val="32"/>
        </w:rPr>
        <w:t>积极响应国家新能源汽车下乡战略、城乡融合发展战略要求，加快乡镇、农村充电基础设施建设，促进充电服务网络持续向广大农村地区延伸，加快实现城乡充电服务均等化。积极开展农村新能源+储能+充电设施试点，初步建成农村充电设施服务网络。</w:t>
      </w:r>
    </w:p>
    <w:p>
      <w:pPr>
        <w:pStyle w:val="2"/>
        <w:ind w:firstLine="643" w:firstLineChars="200"/>
        <w:jc w:val="both"/>
        <w:rPr>
          <w:rFonts w:hAnsi="仿宋_GB2312"/>
          <w:color w:val="auto"/>
          <w:kern w:val="2"/>
          <w:sz w:val="32"/>
          <w:szCs w:val="32"/>
        </w:rPr>
      </w:pPr>
      <w:r>
        <w:rPr>
          <w:rFonts w:hint="eastAsia" w:hAnsi="仿宋_GB2312"/>
          <w:b/>
          <w:bCs/>
          <w:color w:val="auto"/>
          <w:kern w:val="2"/>
          <w:sz w:val="32"/>
          <w:szCs w:val="32"/>
        </w:rPr>
        <w:t>大力发展综合供能服务。</w:t>
      </w:r>
      <w:r>
        <w:rPr>
          <w:rFonts w:hint="eastAsia" w:hAnsi="仿宋_GB2312"/>
          <w:color w:val="auto"/>
          <w:kern w:val="2"/>
          <w:sz w:val="32"/>
          <w:szCs w:val="32"/>
        </w:rPr>
        <w:t>加强充电基础设施与</w:t>
      </w:r>
      <w:r>
        <w:rPr>
          <w:rFonts w:hint="eastAsia" w:hAnsi="仿宋_GB2312"/>
          <w:sz w:val="32"/>
          <w:szCs w:val="32"/>
        </w:rPr>
        <w:t>《广西壮族自治区综合供能服务站发展规划(（2021</w:t>
      </w:r>
      <w:r>
        <w:rPr>
          <w:rFonts w:hint="eastAsia" w:hAnsi="仿宋_GB2312"/>
          <w:sz w:val="32"/>
          <w:szCs w:val="32"/>
          <w:lang w:eastAsia="zh-CN"/>
        </w:rPr>
        <w:t>—</w:t>
      </w:r>
      <w:r>
        <w:rPr>
          <w:rFonts w:hint="eastAsia" w:hAnsi="仿宋_GB2312"/>
          <w:sz w:val="32"/>
          <w:szCs w:val="32"/>
        </w:rPr>
        <w:t>2025年）》衔接，</w:t>
      </w:r>
      <w:r>
        <w:rPr>
          <w:rFonts w:hint="eastAsia" w:hAnsi="仿宋_GB2312"/>
          <w:color w:val="auto"/>
          <w:kern w:val="2"/>
          <w:sz w:val="32"/>
          <w:szCs w:val="32"/>
        </w:rPr>
        <w:t>开展油、电、气、氢、智能交通等综合供能服务试点示范。将充电基础设施作为满足我区综合供能服务站“供电”服务的主要载体和主要措施，将充电基础设施建设布局与全区综合供能服务站建设布局统筹考虑，同步实施</w:t>
      </w:r>
      <w:r>
        <w:rPr>
          <w:rFonts w:hint="eastAsia" w:hAnsi="仿宋_GB2312"/>
          <w:color w:val="auto"/>
          <w:kern w:val="2"/>
          <w:sz w:val="32"/>
          <w:szCs w:val="32"/>
          <w:lang w:eastAsia="zh-CN"/>
        </w:rPr>
        <w:t>、</w:t>
      </w:r>
      <w:r>
        <w:rPr>
          <w:rFonts w:hint="eastAsia" w:hAnsi="仿宋_GB2312"/>
          <w:color w:val="auto"/>
          <w:kern w:val="2"/>
          <w:sz w:val="32"/>
          <w:szCs w:val="32"/>
        </w:rPr>
        <w:t>同步建设</w:t>
      </w:r>
      <w:r>
        <w:rPr>
          <w:rFonts w:hint="eastAsia" w:hAnsi="仿宋_GB2312"/>
          <w:color w:val="auto"/>
          <w:kern w:val="2"/>
          <w:sz w:val="32"/>
          <w:szCs w:val="32"/>
          <w:lang w:eastAsia="zh-CN"/>
        </w:rPr>
        <w:t>、</w:t>
      </w:r>
      <w:r>
        <w:rPr>
          <w:rFonts w:hint="eastAsia" w:hAnsi="仿宋_GB2312"/>
          <w:color w:val="auto"/>
          <w:kern w:val="2"/>
          <w:sz w:val="32"/>
          <w:szCs w:val="32"/>
        </w:rPr>
        <w:t>同步投入运营。“十四五”期间结合综合供能服务站建设，初步形成布局合理、功能综合、智慧便捷的新型交通综合充电服务体系。</w:t>
      </w:r>
      <w:r>
        <w:rPr>
          <w:rFonts w:hint="eastAsia" w:hAnsi="仿宋_GB2312"/>
          <w:color w:val="auto"/>
          <w:kern w:val="2"/>
          <w:sz w:val="32"/>
          <w:szCs w:val="32"/>
          <w:lang w:val="en-US" w:eastAsia="zh-CN"/>
        </w:rPr>
        <w:t>到</w:t>
      </w:r>
      <w:r>
        <w:rPr>
          <w:rFonts w:hint="eastAsia" w:hAnsi="仿宋_GB2312"/>
          <w:color w:val="auto"/>
          <w:kern w:val="2"/>
          <w:sz w:val="32"/>
          <w:szCs w:val="32"/>
        </w:rPr>
        <w:t>2025年底，全区建成不少于600个综合供能服务站，满足多元化交通用能需求。</w:t>
      </w:r>
    </w:p>
    <w:p>
      <w:pPr>
        <w:pStyle w:val="4"/>
        <w:widowControl w:val="0"/>
        <w:numPr>
          <w:ilvl w:val="0"/>
          <w:numId w:val="5"/>
        </w:numPr>
        <w:spacing w:before="0" w:after="0" w:line="600" w:lineRule="exact"/>
        <w:jc w:val="both"/>
        <w:rPr>
          <w:rFonts w:hint="eastAsia" w:ascii="楷体" w:hAnsi="楷体" w:eastAsia="楷体" w:cs="楷体"/>
          <w:bCs w:val="0"/>
          <w:kern w:val="2"/>
        </w:rPr>
      </w:pPr>
      <w:bookmarkStart w:id="68" w:name="_Toc82509860"/>
      <w:bookmarkStart w:id="69" w:name="_Toc762"/>
      <w:bookmarkStart w:id="70" w:name="_Toc58249271"/>
      <w:bookmarkStart w:id="71" w:name="_Toc6439"/>
      <w:bookmarkStart w:id="72" w:name="_Toc9646"/>
      <w:r>
        <w:rPr>
          <w:rFonts w:hint="eastAsia" w:ascii="楷体" w:hAnsi="楷体" w:eastAsia="楷体" w:cs="楷体"/>
          <w:bCs w:val="0"/>
          <w:kern w:val="2"/>
        </w:rPr>
        <w:t>配套新能源汽车</w:t>
      </w:r>
      <w:r>
        <w:rPr>
          <w:rFonts w:ascii="楷体" w:hAnsi="楷体" w:eastAsia="楷体" w:cs="楷体"/>
          <w:bCs w:val="0"/>
          <w:kern w:val="2"/>
        </w:rPr>
        <w:t>产业积极推进换电站</w:t>
      </w:r>
      <w:r>
        <w:rPr>
          <w:rFonts w:hint="eastAsia" w:ascii="楷体" w:hAnsi="楷体" w:eastAsia="楷体" w:cs="楷体"/>
          <w:bCs w:val="0"/>
          <w:kern w:val="2"/>
        </w:rPr>
        <w:t>布局</w:t>
      </w:r>
      <w:bookmarkEnd w:id="68"/>
      <w:bookmarkEnd w:id="69"/>
      <w:bookmarkEnd w:id="70"/>
      <w:bookmarkEnd w:id="71"/>
      <w:bookmarkEnd w:id="72"/>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按照广西新能源汽车产业布局，</w:t>
      </w:r>
      <w:r>
        <w:rPr>
          <w:rFonts w:hint="eastAsia" w:ascii="仿宋_GB2312" w:hAnsi="仿宋_GB2312" w:eastAsia="仿宋_GB2312" w:cs="仿宋_GB2312"/>
          <w:sz w:val="32"/>
          <w:szCs w:val="32"/>
          <w:lang w:eastAsia="zh-CN"/>
        </w:rPr>
        <w:t>着重</w:t>
      </w:r>
      <w:r>
        <w:rPr>
          <w:rFonts w:hint="eastAsia" w:ascii="仿宋_GB2312" w:hAnsi="仿宋_GB2312" w:eastAsia="仿宋_GB2312" w:cs="仿宋_GB2312"/>
          <w:sz w:val="32"/>
          <w:szCs w:val="32"/>
        </w:rPr>
        <w:t>在柳州新能源汽车城、南宁新能源汽车城、桂林新能源商用车基地、玉贵（玉林、贵港）新能源商用车基地重点推进电动汽车集中式换电站布局，集中</w:t>
      </w:r>
      <w:r>
        <w:rPr>
          <w:rFonts w:ascii="仿宋_GB2312" w:hAnsi="仿宋_GB2312" w:eastAsia="仿宋_GB2312" w:cs="仿宋_GB2312"/>
          <w:sz w:val="32"/>
          <w:szCs w:val="32"/>
        </w:rPr>
        <w:t>服务</w:t>
      </w:r>
      <w:r>
        <w:rPr>
          <w:rFonts w:hint="eastAsia" w:ascii="仿宋_GB2312" w:hAnsi="仿宋_GB2312" w:eastAsia="仿宋_GB2312" w:cs="仿宋_GB2312"/>
          <w:sz w:val="32"/>
          <w:szCs w:val="32"/>
        </w:rPr>
        <w:t>同一品牌</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城市出租车、公共</w:t>
      </w:r>
      <w:r>
        <w:rPr>
          <w:rFonts w:ascii="仿宋_GB2312" w:hAnsi="仿宋_GB2312" w:eastAsia="仿宋_GB2312" w:cs="仿宋_GB2312"/>
          <w:sz w:val="32"/>
          <w:szCs w:val="32"/>
        </w:rPr>
        <w:t>租赁车以及</w:t>
      </w:r>
      <w:r>
        <w:rPr>
          <w:rFonts w:hint="eastAsia" w:ascii="仿宋_GB2312" w:hAnsi="仿宋_GB2312" w:eastAsia="仿宋_GB2312" w:cs="仿宋_GB2312"/>
          <w:sz w:val="32"/>
          <w:szCs w:val="32"/>
        </w:rPr>
        <w:t>网约车，提升</w:t>
      </w:r>
      <w:r>
        <w:rPr>
          <w:rFonts w:ascii="仿宋_GB2312" w:hAnsi="仿宋_GB2312" w:eastAsia="仿宋_GB2312" w:cs="仿宋_GB2312"/>
          <w:sz w:val="32"/>
          <w:szCs w:val="32"/>
        </w:rPr>
        <w:t>公共交通服务效率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稳步推进电动出租专用换电站建设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鼓励建设运营企业利用自有或租赁土地建设集中式充换电站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适当新建独立占地的公共充换电站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鼓励有条件的地区建设电动重卡车换电站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结合新能源</w:t>
      </w:r>
      <w:r>
        <w:rPr>
          <w:rFonts w:ascii="仿宋_GB2312" w:hAnsi="仿宋_GB2312" w:eastAsia="仿宋_GB2312" w:cs="仿宋_GB2312"/>
          <w:sz w:val="32"/>
          <w:szCs w:val="32"/>
        </w:rPr>
        <w:t>汽车</w:t>
      </w:r>
      <w:r>
        <w:rPr>
          <w:rFonts w:hint="eastAsia" w:ascii="仿宋_GB2312" w:hAnsi="仿宋_GB2312" w:eastAsia="仿宋_GB2312" w:cs="仿宋_GB2312"/>
          <w:sz w:val="32"/>
          <w:szCs w:val="32"/>
        </w:rPr>
        <w:t>动力电池标准化推进情况，</w:t>
      </w:r>
      <w:r>
        <w:rPr>
          <w:rFonts w:ascii="仿宋_GB2312" w:hAnsi="仿宋_GB2312" w:eastAsia="仿宋_GB2312" w:cs="仿宋_GB2312"/>
          <w:sz w:val="32"/>
          <w:szCs w:val="32"/>
        </w:rPr>
        <w:t>逐步</w:t>
      </w:r>
      <w:r>
        <w:rPr>
          <w:rFonts w:hint="eastAsia" w:ascii="仿宋_GB2312" w:hAnsi="仿宋_GB2312" w:eastAsia="仿宋_GB2312" w:cs="仿宋_GB2312"/>
          <w:sz w:val="32"/>
          <w:szCs w:val="32"/>
        </w:rPr>
        <w:t>向私人乘用车</w:t>
      </w:r>
      <w:r>
        <w:rPr>
          <w:rFonts w:ascii="仿宋_GB2312" w:hAnsi="仿宋_GB2312" w:eastAsia="仿宋_GB2312" w:cs="仿宋_GB2312"/>
          <w:sz w:val="32"/>
          <w:szCs w:val="32"/>
        </w:rPr>
        <w:t>推广</w:t>
      </w:r>
      <w:r>
        <w:rPr>
          <w:rFonts w:hint="eastAsia" w:ascii="仿宋_GB2312" w:hAnsi="仿宋_GB2312" w:eastAsia="仿宋_GB2312" w:cs="仿宋_GB2312"/>
          <w:sz w:val="32"/>
          <w:szCs w:val="32"/>
        </w:rPr>
        <w:t>换电模式。通过</w:t>
      </w:r>
      <w:r>
        <w:rPr>
          <w:rFonts w:ascii="仿宋_GB2312" w:hAnsi="仿宋_GB2312" w:eastAsia="仿宋_GB2312" w:cs="仿宋_GB2312"/>
          <w:sz w:val="32"/>
          <w:szCs w:val="32"/>
        </w:rPr>
        <w:t>换电站布局进一步推进</w:t>
      </w:r>
      <w:r>
        <w:rPr>
          <w:rFonts w:hint="eastAsia" w:ascii="仿宋_GB2312" w:hAnsi="仿宋_GB2312" w:eastAsia="仿宋_GB2312" w:cs="仿宋_GB2312"/>
          <w:sz w:val="32"/>
          <w:szCs w:val="32"/>
        </w:rPr>
        <w:t>新能源</w:t>
      </w:r>
      <w:r>
        <w:rPr>
          <w:rFonts w:ascii="仿宋_GB2312" w:hAnsi="仿宋_GB2312" w:eastAsia="仿宋_GB2312" w:cs="仿宋_GB2312"/>
          <w:sz w:val="32"/>
          <w:szCs w:val="32"/>
        </w:rPr>
        <w:t>汽车产业高质量发展，提高新能源汽车出行便捷度，</w:t>
      </w:r>
      <w:r>
        <w:rPr>
          <w:rFonts w:hint="eastAsia" w:ascii="仿宋_GB2312" w:hAnsi="仿宋_GB2312" w:eastAsia="仿宋_GB2312" w:cs="仿宋_GB2312"/>
          <w:sz w:val="32"/>
          <w:szCs w:val="32"/>
        </w:rPr>
        <w:t>催生新的</w:t>
      </w:r>
      <w:r>
        <w:rPr>
          <w:rFonts w:ascii="仿宋_GB2312" w:hAnsi="仿宋_GB2312" w:eastAsia="仿宋_GB2312" w:cs="仿宋_GB2312"/>
          <w:sz w:val="32"/>
          <w:szCs w:val="32"/>
        </w:rPr>
        <w:t>服务业态。</w:t>
      </w:r>
    </w:p>
    <w:p>
      <w:pPr>
        <w:pStyle w:val="4"/>
        <w:widowControl w:val="0"/>
        <w:numPr>
          <w:ilvl w:val="0"/>
          <w:numId w:val="5"/>
        </w:numPr>
        <w:spacing w:before="0" w:after="0" w:line="600" w:lineRule="exact"/>
        <w:ind w:firstLine="643" w:firstLineChars="200"/>
        <w:jc w:val="both"/>
        <w:rPr>
          <w:rFonts w:hint="eastAsia" w:ascii="楷体" w:hAnsi="楷体" w:eastAsia="楷体" w:cs="楷体"/>
          <w:bCs w:val="0"/>
          <w:kern w:val="2"/>
        </w:rPr>
      </w:pPr>
      <w:bookmarkStart w:id="73" w:name="_Toc1714"/>
      <w:bookmarkStart w:id="74" w:name="_Toc58249272"/>
      <w:bookmarkStart w:id="75" w:name="_Toc82509861"/>
      <w:bookmarkStart w:id="76" w:name="_Toc12627"/>
      <w:bookmarkStart w:id="77" w:name="_Toc27495"/>
      <w:r>
        <w:rPr>
          <w:rFonts w:hint="eastAsia" w:ascii="楷体" w:hAnsi="楷体" w:eastAsia="楷体" w:cs="楷体"/>
          <w:bCs w:val="0"/>
          <w:kern w:val="2"/>
        </w:rPr>
        <w:t>完善全区智能充电服务平台</w:t>
      </w:r>
      <w:bookmarkEnd w:id="73"/>
      <w:bookmarkEnd w:id="74"/>
      <w:bookmarkEnd w:id="75"/>
      <w:bookmarkEnd w:id="76"/>
      <w:bookmarkEnd w:id="77"/>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推动平台互联互通。</w:t>
      </w:r>
      <w:r>
        <w:rPr>
          <w:rFonts w:hint="eastAsia" w:ascii="仿宋_GB2312" w:hAnsi="仿宋_GB2312" w:eastAsia="仿宋_GB2312" w:cs="仿宋_GB2312"/>
          <w:sz w:val="32"/>
          <w:szCs w:val="32"/>
        </w:rPr>
        <w:t>加快推进存量公用充电设施数据接入“八桂充”平台</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鼓励自用充电基础设施接入“八桂充”平台，增量设施需按照《广西省级电动汽车充电服务及监管平台互联互通技术指引》标准建设。推进区内各类充电服务平台与“八桂充”平台物理联通，实现互联互通、信息共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统一结算。为充电设施运营商、新能源汽车用户提供优质、便捷服务，实现“安装一个APP，走遍广西可充电”的目标。适时推动“八桂充”与西部陆海新通道沿线省份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粤港澳</w:t>
      </w:r>
      <w:r>
        <w:rPr>
          <w:rFonts w:hint="eastAsia" w:ascii="仿宋_GB2312" w:hAnsi="仿宋_GB2312" w:eastAsia="仿宋_GB2312" w:cs="仿宋_GB2312"/>
          <w:sz w:val="32"/>
          <w:szCs w:val="32"/>
        </w:rPr>
        <w:t>大湾区智能充电服务平台的互联互通。</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完善“八桂充”省级电动汽车充电服务与监管</w:t>
      </w:r>
      <w:r>
        <w:rPr>
          <w:rFonts w:hint="eastAsia" w:ascii="仿宋_GB2312" w:hAnsi="仿宋_GB2312" w:eastAsia="仿宋_GB2312" w:cs="仿宋_GB2312"/>
          <w:sz w:val="32"/>
          <w:szCs w:val="32"/>
        </w:rPr>
        <w:t>。应用“互联网+充电设施”的大数据技术，提供充电服务、电桩联网管理、政府监管等服务，加强对充电设施运营服务的统一规范和管理。已建设的市县第三方充电运营服务平台应同步与省级电动汽车充电服务平台融合，实现数据共享，统一服务。</w:t>
      </w:r>
    </w:p>
    <w:p>
      <w:pPr>
        <w:pStyle w:val="4"/>
        <w:widowControl w:val="0"/>
        <w:numPr>
          <w:ilvl w:val="0"/>
          <w:numId w:val="5"/>
        </w:numPr>
        <w:spacing w:before="0" w:after="0" w:line="600" w:lineRule="exact"/>
        <w:ind w:firstLine="643" w:firstLineChars="200"/>
        <w:jc w:val="both"/>
        <w:rPr>
          <w:rFonts w:hint="eastAsia" w:ascii="楷体" w:hAnsi="楷体" w:eastAsia="楷体" w:cs="楷体"/>
          <w:bCs w:val="0"/>
          <w:kern w:val="2"/>
        </w:rPr>
      </w:pPr>
      <w:bookmarkStart w:id="78" w:name="_Toc58249273"/>
      <w:bookmarkStart w:id="79" w:name="_Toc15311"/>
      <w:bookmarkStart w:id="80" w:name="_Toc27017"/>
      <w:bookmarkStart w:id="81" w:name="_Toc82509862"/>
      <w:bookmarkStart w:id="82" w:name="_Toc6388"/>
      <w:r>
        <w:rPr>
          <w:rFonts w:hint="eastAsia" w:ascii="楷体" w:hAnsi="楷体" w:eastAsia="楷体" w:cs="楷体"/>
          <w:bCs w:val="0"/>
          <w:kern w:val="2"/>
        </w:rPr>
        <w:t>加强充电基础设施供电保障</w:t>
      </w:r>
      <w:bookmarkEnd w:id="78"/>
      <w:bookmarkEnd w:id="79"/>
      <w:bookmarkEnd w:id="80"/>
      <w:bookmarkEnd w:id="81"/>
      <w:bookmarkEnd w:id="82"/>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进一步提高供电能力。</w:t>
      </w:r>
      <w:r>
        <w:rPr>
          <w:rFonts w:hint="eastAsia" w:ascii="仿宋_GB2312" w:hAnsi="仿宋_GB2312" w:eastAsia="仿宋_GB2312" w:cs="仿宋_GB2312"/>
          <w:sz w:val="32"/>
          <w:szCs w:val="32"/>
        </w:rPr>
        <w:t>将充电基础设施供配电网建设与改造项目纳入配电网规划，保障建设用地和廊道通行，并将已建成小区增容计划纳入电网年度改造计划。电网企业负责充电基础设施配电网建设与改造，保障充电基础设施无障碍接入，满足充换电设施运营需求。鼓励公用电网对物业管理停车位直接供电模式。</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持续提升充电基础设施供电服务。</w:t>
      </w:r>
      <w:r>
        <w:rPr>
          <w:rFonts w:hint="eastAsia" w:ascii="仿宋_GB2312" w:hAnsi="仿宋_GB2312" w:eastAsia="仿宋_GB2312" w:cs="仿宋_GB2312"/>
          <w:sz w:val="32"/>
          <w:szCs w:val="32"/>
        </w:rPr>
        <w:t>电网企业负责建设、运行维护充电基础设施产权分界点至电网的接网工程，不得收取接网费用，相应资产全额纳入有效资产，成本据实计入准许成本，按照电网输配电价回收。要为充电基础设施接入电网提供便利条件，开辟绿色通道，规范服务流程，简化手续，提高效率，限时办结。</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提高设施利用效率。</w:t>
      </w:r>
      <w:r>
        <w:rPr>
          <w:rFonts w:hint="eastAsia" w:ascii="仿宋_GB2312" w:hAnsi="仿宋_GB2312" w:eastAsia="仿宋_GB2312" w:cs="仿宋_GB2312"/>
          <w:sz w:val="32"/>
          <w:szCs w:val="32"/>
        </w:rPr>
        <w:t>充电基础设施安装智能电表，将电网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用户双侧通信接口接入充电基础设施信息管理平台，分析电力供需形势，调整实时电费。在满足电动汽车充电条件下，通过合理安排充放电时间，挖掘电动汽车储能能力，参与电网调峰，提高电网运行效率及充电基础设施利用率。</w:t>
      </w:r>
    </w:p>
    <w:p>
      <w:pPr>
        <w:pStyle w:val="4"/>
        <w:widowControl w:val="0"/>
        <w:numPr>
          <w:ilvl w:val="0"/>
          <w:numId w:val="5"/>
        </w:numPr>
        <w:spacing w:before="0" w:after="0" w:line="600" w:lineRule="exact"/>
        <w:ind w:firstLine="643" w:firstLineChars="200"/>
        <w:jc w:val="both"/>
        <w:rPr>
          <w:rFonts w:hint="eastAsia" w:ascii="楷体" w:hAnsi="楷体" w:eastAsia="楷体" w:cs="楷体"/>
          <w:bCs w:val="0"/>
          <w:kern w:val="2"/>
        </w:rPr>
      </w:pPr>
      <w:bookmarkStart w:id="83" w:name="_Toc82509863"/>
      <w:bookmarkStart w:id="84" w:name="_Toc12332"/>
      <w:bookmarkStart w:id="85" w:name="_Toc58249274"/>
      <w:bookmarkStart w:id="86" w:name="_Toc19540"/>
      <w:bookmarkStart w:id="87" w:name="_Toc22674"/>
      <w:r>
        <w:rPr>
          <w:rFonts w:hint="eastAsia" w:ascii="楷体" w:hAnsi="楷体" w:eastAsia="楷体" w:cs="楷体"/>
          <w:bCs w:val="0"/>
          <w:kern w:val="2"/>
        </w:rPr>
        <w:t>健全充电基础设施建设标准</w:t>
      </w:r>
      <w:bookmarkEnd w:id="83"/>
      <w:bookmarkEnd w:id="84"/>
      <w:bookmarkEnd w:id="85"/>
      <w:bookmarkEnd w:id="86"/>
      <w:bookmarkEnd w:id="87"/>
    </w:p>
    <w:p>
      <w:pPr>
        <w:pStyle w:val="39"/>
        <w:spacing w:before="0" w:line="60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严格执行国家出台的有关充电基础设施技术标准规范，推行充电基础设施产品准入机制，尽快制定修订充电基础设施设计规范和建设标准，实现各侧/端通讯接口、支付接口、机构接入、设备接入、数据采集、消防安全以及信息安全等标准（协议）的统一。尽快制定充电基础设施运营、管理和验收标准，规范充电基础设施的计量计费、标识体系、使用方法和验收程序等，实现充电基础设施高效使用。推进充电设施互操作性检测和认证工作，提高通用性和开放性。规范充电设施计量、计费、结算等运营服务管理。</w:t>
      </w:r>
      <w:r>
        <w:rPr>
          <w:rFonts w:hint="eastAsia" w:ascii="仿宋_GB2312" w:eastAsia="仿宋_GB2312"/>
          <w:szCs w:val="32"/>
        </w:rPr>
        <w:t>各级人民政府法定计量检定机构应同步建立充电设施的社会公用计量标准，保障辖区内的充电设施计量、计费准确可靠。</w:t>
      </w:r>
      <w:r>
        <w:rPr>
          <w:rFonts w:hint="eastAsia" w:ascii="仿宋_GB2312" w:hAnsi="仿宋_GB2312" w:eastAsia="仿宋_GB2312" w:cs="仿宋_GB2312"/>
          <w:szCs w:val="32"/>
        </w:rPr>
        <w:t>通过开展自愿性产品检测认证、行业白名单制定等评价方式，强化企业社会责任和行业自律，引导充电设施运营服务水平提升。</w:t>
      </w:r>
    </w:p>
    <w:p>
      <w:pPr>
        <w:pStyle w:val="4"/>
        <w:widowControl w:val="0"/>
        <w:numPr>
          <w:ilvl w:val="0"/>
          <w:numId w:val="5"/>
        </w:numPr>
        <w:spacing w:before="0" w:after="0" w:line="600" w:lineRule="exact"/>
        <w:ind w:firstLine="643" w:firstLineChars="200"/>
        <w:jc w:val="both"/>
        <w:rPr>
          <w:rFonts w:hint="eastAsia" w:ascii="楷体" w:hAnsi="楷体" w:eastAsia="楷体" w:cs="楷体"/>
          <w:bCs w:val="0"/>
          <w:kern w:val="2"/>
        </w:rPr>
      </w:pPr>
      <w:bookmarkStart w:id="88" w:name="_Toc13224"/>
      <w:bookmarkStart w:id="89" w:name="_Toc82509864"/>
      <w:bookmarkStart w:id="90" w:name="_Toc58249275"/>
      <w:bookmarkStart w:id="91" w:name="_Toc16911"/>
      <w:bookmarkStart w:id="92" w:name="_Toc12585"/>
      <w:r>
        <w:rPr>
          <w:rFonts w:hint="eastAsia" w:ascii="楷体" w:hAnsi="楷体" w:eastAsia="楷体" w:cs="楷体"/>
          <w:bCs w:val="0"/>
          <w:kern w:val="2"/>
        </w:rPr>
        <w:t>探索发展新型商业模式</w:t>
      </w:r>
      <w:bookmarkEnd w:id="88"/>
      <w:bookmarkEnd w:id="89"/>
      <w:bookmarkEnd w:id="90"/>
      <w:bookmarkEnd w:id="91"/>
      <w:bookmarkEnd w:id="92"/>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积极开展新能源汽车与电网(V2G)能量互动。</w:t>
      </w:r>
      <w:r>
        <w:rPr>
          <w:rFonts w:hint="eastAsia" w:ascii="仿宋_GB2312" w:hAnsi="仿宋_GB2312" w:eastAsia="仿宋_GB2312" w:cs="仿宋_GB2312"/>
          <w:sz w:val="32"/>
          <w:szCs w:val="32"/>
        </w:rPr>
        <w:t>鼓励具备条件的</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市开展V2G示范应用</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发挥电动汽车灵活充放电特性，鼓励和引导电动汽车及充电基础设施通过市场化交易、负荷聚合、虚拟电力等方式参与电力系统调峰、调频等辅助服务和需求侧响应,综合运用政策及经济性手段,实现新能源汽车与电网能量高效互动,降低新能源汽车用电成本,提高电网灵活调节和安全应急等响应能力。鼓励具备一定规模的充电设施运营商，将分散的集中式充电站统一为售电主体，参与电力市场交易，通过集中交易，形成规模效益，向用户提供更有竞争力的充电电费。</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促进充电服务网络与智慧城市融合发展。</w:t>
      </w:r>
      <w:r>
        <w:rPr>
          <w:rFonts w:hint="eastAsia" w:ascii="仿宋_GB2312" w:hAnsi="仿宋_GB2312" w:eastAsia="仿宋_GB2312" w:cs="仿宋_GB2312"/>
          <w:sz w:val="32"/>
          <w:szCs w:val="32"/>
        </w:rPr>
        <w:t>推动新能源汽车与气象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可再生能源电力预测预报系统</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信息共享与融合</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统筹新能源汽车能源利用与风电光伏协同调度</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提升可再生能源应用比例。鼓励“光储充放”(分布式光伏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储能系统充放电）多功能综合一体站建设。将充电基础设施作为未来城市能源互联网、车联网等重要入口，促进充电基础设施与智慧交通、智慧城市深度融合，探索扩展增值服务。</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积极推动设施共享。</w:t>
      </w:r>
      <w:r>
        <w:rPr>
          <w:rFonts w:hint="eastAsia" w:ascii="仿宋_GB2312" w:hAnsi="仿宋_GB2312" w:eastAsia="仿宋_GB2312" w:cs="仿宋_GB2312"/>
          <w:sz w:val="32"/>
          <w:szCs w:val="32"/>
        </w:rPr>
        <w:t>支持各相关方联合开展充电设施建设运营,支持居民区多车一桩、相邻车位共享等合作模式。鼓励充电场站与商业地产相结合</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建设智能立体充电站</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提升公共场所充电服务能力。推动具备条件的党政机关、公共机构及企事业单位利用内部充电设施，向社会公众错峰开放。鼓励充电场站与加油站、加氢站、加气站、变电站统一规划一体化建设，支持在具备条件的加油加气站配建公共快充设施，开展油气氢电综合供给服务。</w:t>
      </w:r>
    </w:p>
    <w:p>
      <w:pPr>
        <w:pStyle w:val="39"/>
        <w:spacing w:before="0" w:line="600" w:lineRule="exact"/>
        <w:ind w:firstLine="643" w:firstLineChars="200"/>
        <w:rPr>
          <w:rFonts w:hint="eastAsia" w:ascii="仿宋_GB2312" w:eastAsia="仿宋_GB2312"/>
          <w:szCs w:val="32"/>
        </w:rPr>
      </w:pPr>
      <w:r>
        <w:rPr>
          <w:rFonts w:hint="eastAsia" w:ascii="仿宋_GB2312" w:eastAsia="仿宋_GB2312"/>
          <w:b/>
          <w:bCs/>
          <w:szCs w:val="32"/>
        </w:rPr>
        <w:t>鼓励开展多元化商业模式创新。</w:t>
      </w:r>
      <w:r>
        <w:rPr>
          <w:rFonts w:hint="eastAsia" w:ascii="仿宋_GB2312" w:eastAsia="仿宋_GB2312"/>
          <w:szCs w:val="32"/>
        </w:rPr>
        <w:t>探索电动汽车充换电站与商业地产相结合的发展方式，引导商场、超市、电影院等商业场所为用户提供辅助充电服务。鼓励充电设施运营服务、整车</w:t>
      </w:r>
      <w:r>
        <w:rPr>
          <w:rFonts w:hint="eastAsia" w:ascii="仿宋_GB2312" w:eastAsia="仿宋_GB2312"/>
          <w:szCs w:val="32"/>
          <w:lang w:eastAsia="zh-CN"/>
        </w:rPr>
        <w:t>制造</w:t>
      </w:r>
      <w:r>
        <w:rPr>
          <w:rFonts w:hint="eastAsia" w:ascii="仿宋_GB2312" w:eastAsia="仿宋_GB2312"/>
          <w:szCs w:val="32"/>
        </w:rPr>
        <w:t>、出行服务等企业开展合作，促进充电服务专业化发展，通过众筹、线上线下相结合等方式，</w:t>
      </w:r>
      <w:r>
        <w:rPr>
          <w:rFonts w:hint="eastAsia" w:ascii="仿宋_GB2312" w:eastAsia="仿宋_GB2312"/>
          <w:szCs w:val="32"/>
          <w:lang w:eastAsia="zh-CN"/>
        </w:rPr>
        <w:t>利用</w:t>
      </w:r>
      <w:r>
        <w:rPr>
          <w:rFonts w:hint="eastAsia" w:ascii="仿宋_GB2312" w:eastAsia="仿宋_GB2312"/>
          <w:szCs w:val="32"/>
        </w:rPr>
        <w:t>车位经营、车辆租赁、广告服务、大数据应用、电子商务、智能充换电、电力交易等</w:t>
      </w:r>
      <w:r>
        <w:rPr>
          <w:rFonts w:hint="eastAsia" w:ascii="仿宋_GB2312" w:eastAsia="仿宋_GB2312"/>
          <w:szCs w:val="32"/>
          <w:lang w:eastAsia="zh-CN"/>
        </w:rPr>
        <w:t>措施</w:t>
      </w:r>
      <w:r>
        <w:rPr>
          <w:rFonts w:hint="eastAsia" w:ascii="仿宋_GB2312" w:eastAsia="仿宋_GB2312"/>
          <w:szCs w:val="32"/>
        </w:rPr>
        <w:t>增加运营收入，提升充电服务企业可持续发展能力。</w:t>
      </w:r>
    </w:p>
    <w:p>
      <w:pPr>
        <w:pStyle w:val="4"/>
        <w:widowControl w:val="0"/>
        <w:numPr>
          <w:ilvl w:val="0"/>
          <w:numId w:val="5"/>
        </w:numPr>
        <w:spacing w:before="0" w:after="0" w:line="600" w:lineRule="exact"/>
        <w:ind w:firstLine="643" w:firstLineChars="200"/>
        <w:jc w:val="both"/>
        <w:rPr>
          <w:rFonts w:hint="eastAsia" w:ascii="楷体" w:hAnsi="楷体" w:eastAsia="楷体" w:cs="楷体"/>
          <w:bCs w:val="0"/>
          <w:kern w:val="2"/>
        </w:rPr>
      </w:pPr>
      <w:bookmarkStart w:id="93" w:name="_Toc58249277"/>
      <w:bookmarkStart w:id="94" w:name="_Toc22189"/>
      <w:bookmarkStart w:id="95" w:name="_Toc9595"/>
      <w:bookmarkStart w:id="96" w:name="_Toc82509865"/>
      <w:bookmarkStart w:id="97" w:name="_Toc7243"/>
      <w:r>
        <w:rPr>
          <w:rFonts w:hint="eastAsia" w:ascii="楷体" w:hAnsi="楷体" w:eastAsia="楷体" w:cs="楷体"/>
          <w:bCs w:val="0"/>
          <w:kern w:val="2"/>
        </w:rPr>
        <w:t>优化完善运营服务体系</w:t>
      </w:r>
      <w:bookmarkEnd w:id="93"/>
      <w:bookmarkEnd w:id="94"/>
      <w:bookmarkEnd w:id="95"/>
      <w:bookmarkEnd w:id="96"/>
      <w:bookmarkEnd w:id="97"/>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规范充电设施建设运营管理行为，明确安全管理要求，强化充电设施投资建设主体责任和设施所有人的维修更新养护责任，提升运维技术，加大人员投入，完善操作流程和岗位规范，定期维护保养，减少故障桩，消灭“僵尸桩”</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 xml:space="preserve">定期调试测试，保证设施平稳运行。加强与停车设施建设的联动，完善路牌标示及指引，统筹安排、聚焦重点、精心组织、落实责任，加快建成较为完善的充电设施体系，满足新能源汽车的充电需求。鼓励支持充电基础设施建设运营龙头企业做大做强，充分发挥规模大、实力强、业绩好，服务优的优势，加快充电基础设施建设，提升运营服务水平，实现充电基础设施建设运营集约化、专业化、规范化。 </w:t>
      </w:r>
    </w:p>
    <w:p>
      <w:pPr>
        <w:pStyle w:val="39"/>
        <w:numPr>
          <w:ilvl w:val="0"/>
          <w:numId w:val="1"/>
        </w:numPr>
        <w:spacing w:before="0" w:line="600" w:lineRule="exact"/>
        <w:ind w:firstLine="643" w:firstLineChars="200"/>
        <w:outlineLvl w:val="0"/>
        <w:rPr>
          <w:rFonts w:hint="eastAsia" w:ascii="黑体" w:hAnsi="黑体" w:eastAsia="黑体" w:cs="黑体"/>
          <w:b/>
          <w:bCs/>
          <w:szCs w:val="32"/>
        </w:rPr>
      </w:pPr>
      <w:bookmarkStart w:id="98" w:name="_Toc23967"/>
      <w:bookmarkStart w:id="99" w:name="_Toc4234"/>
      <w:bookmarkStart w:id="100" w:name="_Toc58249278"/>
      <w:bookmarkStart w:id="101" w:name="_Toc82509866"/>
      <w:bookmarkStart w:id="102" w:name="_Toc1986"/>
      <w:r>
        <w:rPr>
          <w:rFonts w:hint="eastAsia" w:ascii="黑体" w:hAnsi="黑体" w:eastAsia="黑体" w:cs="黑体"/>
          <w:b/>
          <w:bCs/>
          <w:szCs w:val="32"/>
        </w:rPr>
        <w:t>规划实施</w:t>
      </w:r>
      <w:bookmarkEnd w:id="98"/>
      <w:bookmarkEnd w:id="99"/>
      <w:bookmarkEnd w:id="100"/>
      <w:bookmarkEnd w:id="101"/>
      <w:bookmarkEnd w:id="102"/>
    </w:p>
    <w:p>
      <w:pPr>
        <w:pStyle w:val="4"/>
        <w:widowControl w:val="0"/>
        <w:numPr>
          <w:ilvl w:val="0"/>
          <w:numId w:val="6"/>
        </w:numPr>
        <w:spacing w:before="0" w:after="0" w:line="600" w:lineRule="exact"/>
        <w:ind w:firstLine="643" w:firstLineChars="200"/>
        <w:jc w:val="both"/>
        <w:rPr>
          <w:rFonts w:hint="eastAsia" w:ascii="楷体" w:hAnsi="楷体" w:eastAsia="楷体" w:cs="楷体"/>
          <w:bCs w:val="0"/>
          <w:kern w:val="2"/>
        </w:rPr>
      </w:pPr>
      <w:bookmarkStart w:id="103" w:name="_Toc9686"/>
      <w:bookmarkStart w:id="104" w:name="_Toc6420"/>
      <w:bookmarkStart w:id="105" w:name="_Toc82509867"/>
      <w:bookmarkStart w:id="106" w:name="_Toc11541"/>
      <w:bookmarkStart w:id="107" w:name="_Toc58249279"/>
      <w:r>
        <w:rPr>
          <w:rFonts w:hint="eastAsia" w:ascii="楷体" w:hAnsi="楷体" w:eastAsia="楷体" w:cs="楷体"/>
          <w:bCs w:val="0"/>
          <w:kern w:val="2"/>
        </w:rPr>
        <w:t>组织实施</w:t>
      </w:r>
      <w:bookmarkEnd w:id="103"/>
      <w:bookmarkEnd w:id="104"/>
      <w:bookmarkEnd w:id="105"/>
      <w:bookmarkEnd w:id="106"/>
      <w:bookmarkEnd w:id="107"/>
    </w:p>
    <w:p>
      <w:pPr>
        <w:pStyle w:val="39"/>
        <w:numPr>
          <w:ilvl w:val="0"/>
          <w:numId w:val="7"/>
        </w:numPr>
        <w:tabs>
          <w:tab w:val="left" w:pos="1050"/>
        </w:tabs>
        <w:spacing w:before="0" w:line="600" w:lineRule="exact"/>
        <w:ind w:left="5" w:firstLine="635"/>
        <w:rPr>
          <w:rFonts w:hint="eastAsia" w:ascii="仿宋_GB2312" w:eastAsia="仿宋_GB2312"/>
          <w:bCs/>
          <w:szCs w:val="32"/>
        </w:rPr>
      </w:pPr>
      <w:r>
        <w:rPr>
          <w:rFonts w:hint="eastAsia" w:ascii="仿宋_GB2312" w:eastAsia="仿宋_GB2312"/>
          <w:b/>
          <w:szCs w:val="32"/>
        </w:rPr>
        <w:t>加强组织领导。</w:t>
      </w:r>
      <w:r>
        <w:rPr>
          <w:rFonts w:hint="eastAsia" w:ascii="仿宋_GB2312" w:eastAsia="仿宋_GB2312"/>
          <w:bCs/>
          <w:szCs w:val="32"/>
        </w:rPr>
        <w:t>建立自治区各领域相关主管部门紧密配合的协同推进机制，统筹协调全区</w:t>
      </w:r>
      <w:r>
        <w:rPr>
          <w:rFonts w:hint="default" w:ascii="仿宋_GB2312" w:eastAsia="仿宋_GB2312"/>
          <w:bCs/>
          <w:szCs w:val="32"/>
        </w:rPr>
        <w:t>新能源汽车</w:t>
      </w:r>
      <w:r>
        <w:rPr>
          <w:rFonts w:hint="eastAsia" w:ascii="仿宋_GB2312" w:eastAsia="仿宋_GB2312"/>
          <w:bCs/>
          <w:szCs w:val="32"/>
        </w:rPr>
        <w:t>充电设施建设中的重大事项，将充电</w:t>
      </w:r>
      <w:r>
        <w:rPr>
          <w:rFonts w:hint="default" w:ascii="仿宋_GB2312" w:eastAsia="仿宋_GB2312"/>
          <w:bCs/>
          <w:szCs w:val="32"/>
        </w:rPr>
        <w:t>基础</w:t>
      </w:r>
      <w:r>
        <w:rPr>
          <w:rFonts w:hint="eastAsia" w:ascii="仿宋_GB2312" w:eastAsia="仿宋_GB2312"/>
          <w:bCs/>
          <w:szCs w:val="32"/>
        </w:rPr>
        <w:t>设施建设管理作为政府专项工作纳入议事日程，为充电</w:t>
      </w:r>
      <w:r>
        <w:rPr>
          <w:rFonts w:hint="default" w:ascii="仿宋_GB2312" w:eastAsia="仿宋_GB2312"/>
          <w:bCs/>
          <w:szCs w:val="32"/>
        </w:rPr>
        <w:t>基础</w:t>
      </w:r>
      <w:r>
        <w:rPr>
          <w:rFonts w:hint="eastAsia" w:ascii="仿宋_GB2312" w:eastAsia="仿宋_GB2312"/>
          <w:bCs/>
          <w:szCs w:val="32"/>
        </w:rPr>
        <w:t>设施建设运营管理创造有利条件。各市要成立相应机构，切实加强领导，强化新能源汽车推广应用与充电</w:t>
      </w:r>
      <w:r>
        <w:rPr>
          <w:rFonts w:hint="eastAsia" w:ascii="仿宋_GB2312" w:eastAsia="仿宋_GB2312"/>
          <w:bCs/>
          <w:szCs w:val="32"/>
          <w:lang w:val="en-US" w:eastAsia="zh-CN"/>
        </w:rPr>
        <w:t>基础</w:t>
      </w:r>
      <w:r>
        <w:rPr>
          <w:rFonts w:hint="eastAsia" w:ascii="仿宋_GB2312" w:eastAsia="仿宋_GB2312"/>
          <w:bCs/>
          <w:szCs w:val="32"/>
        </w:rPr>
        <w:t>设施建设的统筹衔接，全力推进电动汽车充电设施建设发展。</w:t>
      </w:r>
    </w:p>
    <w:p>
      <w:pPr>
        <w:pStyle w:val="39"/>
        <w:numPr>
          <w:ilvl w:val="0"/>
          <w:numId w:val="7"/>
        </w:numPr>
        <w:tabs>
          <w:tab w:val="left" w:pos="1050"/>
        </w:tabs>
        <w:ind w:left="5" w:firstLine="635"/>
        <w:rPr>
          <w:rFonts w:hint="eastAsia" w:ascii="仿宋_GB2312" w:eastAsia="仿宋_GB2312"/>
          <w:bCs/>
          <w:szCs w:val="32"/>
        </w:rPr>
      </w:pPr>
      <w:r>
        <w:rPr>
          <w:rFonts w:hint="eastAsia" w:ascii="仿宋_GB2312" w:eastAsia="仿宋_GB2312"/>
          <w:b/>
          <w:szCs w:val="32"/>
        </w:rPr>
        <w:t>加强统筹衔接。</w:t>
      </w:r>
      <w:r>
        <w:rPr>
          <w:rFonts w:hint="eastAsia" w:ascii="仿宋_GB2312" w:eastAsia="仿宋_GB2312"/>
          <w:bCs/>
          <w:szCs w:val="32"/>
        </w:rPr>
        <w:t>加强与国土空间、综合交通运输发展、停车设施等</w:t>
      </w:r>
      <w:r>
        <w:rPr>
          <w:rFonts w:hint="default" w:ascii="仿宋_GB2312" w:eastAsia="仿宋_GB2312"/>
          <w:bCs/>
          <w:szCs w:val="32"/>
        </w:rPr>
        <w:t>专项</w:t>
      </w:r>
      <w:r>
        <w:rPr>
          <w:rFonts w:hint="eastAsia" w:ascii="仿宋_GB2312" w:eastAsia="仿宋_GB2312"/>
          <w:bCs/>
          <w:szCs w:val="32"/>
        </w:rPr>
        <w:t>规划的衔接，及时将充电</w:t>
      </w:r>
      <w:r>
        <w:rPr>
          <w:rFonts w:hint="default" w:ascii="仿宋_GB2312" w:eastAsia="仿宋_GB2312"/>
          <w:bCs/>
          <w:szCs w:val="32"/>
        </w:rPr>
        <w:t>基础</w:t>
      </w:r>
      <w:r>
        <w:rPr>
          <w:rFonts w:hint="eastAsia" w:ascii="仿宋_GB2312" w:eastAsia="仿宋_GB2312"/>
          <w:bCs/>
          <w:szCs w:val="32"/>
        </w:rPr>
        <w:t>设施作为城市重要基础设施纳入相关规划。涉及国土空间利用且需独立占地的充电基础设施，各市应将本规划相关要求在本市国土空间总体规划和停车设施专项规划进行衔接后，在详细规划中予以落实。</w:t>
      </w:r>
    </w:p>
    <w:p>
      <w:pPr>
        <w:pStyle w:val="39"/>
        <w:numPr>
          <w:ilvl w:val="0"/>
          <w:numId w:val="7"/>
        </w:numPr>
        <w:tabs>
          <w:tab w:val="left" w:pos="1050"/>
        </w:tabs>
        <w:spacing w:before="0" w:line="240" w:lineRule="auto"/>
        <w:ind w:left="5" w:firstLine="635"/>
        <w:rPr>
          <w:rFonts w:hint="eastAsia" w:ascii="仿宋_GB2312" w:eastAsia="仿宋_GB2312"/>
          <w:b/>
          <w:szCs w:val="32"/>
        </w:rPr>
      </w:pPr>
      <w:r>
        <w:rPr>
          <w:rFonts w:hint="eastAsia" w:ascii="仿宋_GB2312" w:eastAsia="仿宋_GB2312"/>
          <w:b/>
          <w:szCs w:val="32"/>
        </w:rPr>
        <w:t>强化主体责任。</w:t>
      </w:r>
      <w:r>
        <w:rPr>
          <w:rFonts w:hint="eastAsia" w:ascii="仿宋_GB2312" w:eastAsia="仿宋_GB2312"/>
          <w:bCs/>
          <w:szCs w:val="32"/>
        </w:rPr>
        <w:t>各市、县（市、区）人民政府是推进充电</w:t>
      </w:r>
      <w:r>
        <w:rPr>
          <w:rFonts w:hint="default" w:ascii="仿宋_GB2312" w:eastAsia="仿宋_GB2312"/>
          <w:bCs/>
          <w:szCs w:val="32"/>
        </w:rPr>
        <w:t>基础</w:t>
      </w:r>
      <w:r>
        <w:rPr>
          <w:rFonts w:hint="eastAsia" w:ascii="仿宋_GB2312" w:eastAsia="仿宋_GB2312"/>
          <w:bCs/>
          <w:szCs w:val="32"/>
        </w:rPr>
        <w:t>设施建设的责任主体，要制定充电设施建设专项规划，与国土空间规划（现行土地利用总体规划、城乡规划）等规划统筹协调，出台适合本地实际的充电</w:t>
      </w:r>
      <w:r>
        <w:rPr>
          <w:rFonts w:hint="default" w:ascii="仿宋_GB2312" w:eastAsia="仿宋_GB2312"/>
          <w:bCs/>
          <w:szCs w:val="32"/>
        </w:rPr>
        <w:t>基础</w:t>
      </w:r>
      <w:r>
        <w:rPr>
          <w:rFonts w:hint="eastAsia" w:ascii="仿宋_GB2312" w:eastAsia="仿宋_GB2312"/>
          <w:bCs/>
          <w:szCs w:val="32"/>
        </w:rPr>
        <w:t>设施建设运营管理办法，组织抓好实施。自治区各有关部门</w:t>
      </w:r>
      <w:r>
        <w:rPr>
          <w:rFonts w:hint="default" w:ascii="仿宋_GB2312" w:eastAsia="仿宋_GB2312"/>
          <w:bCs/>
          <w:szCs w:val="32"/>
        </w:rPr>
        <w:t>要</w:t>
      </w:r>
      <w:r>
        <w:rPr>
          <w:rFonts w:hint="eastAsia" w:ascii="仿宋_GB2312" w:eastAsia="仿宋_GB2312"/>
          <w:bCs/>
          <w:szCs w:val="32"/>
        </w:rPr>
        <w:t>做好指导及配合工作。</w:t>
      </w:r>
    </w:p>
    <w:p>
      <w:pPr>
        <w:pStyle w:val="39"/>
        <w:numPr>
          <w:ilvl w:val="0"/>
          <w:numId w:val="7"/>
        </w:numPr>
        <w:tabs>
          <w:tab w:val="left" w:pos="1050"/>
        </w:tabs>
        <w:spacing w:before="0" w:line="240" w:lineRule="auto"/>
        <w:ind w:left="5" w:firstLine="635"/>
        <w:rPr>
          <w:rFonts w:hint="eastAsia" w:ascii="仿宋_GB2312" w:eastAsia="仿宋_GB2312"/>
          <w:b/>
          <w:szCs w:val="32"/>
        </w:rPr>
      </w:pPr>
      <w:r>
        <w:rPr>
          <w:rFonts w:hint="eastAsia" w:ascii="仿宋_GB2312" w:eastAsia="仿宋_GB2312"/>
          <w:b/>
          <w:szCs w:val="32"/>
        </w:rPr>
        <w:t>营造良好舆论环境。</w:t>
      </w:r>
      <w:r>
        <w:rPr>
          <w:rFonts w:hint="eastAsia" w:ascii="仿宋_GB2312" w:eastAsia="仿宋_GB2312"/>
          <w:bCs/>
          <w:szCs w:val="32"/>
        </w:rPr>
        <w:t>自治区各主流新闻媒体要通过多种形式大力宣传</w:t>
      </w:r>
      <w:r>
        <w:rPr>
          <w:rFonts w:hint="default" w:ascii="仿宋_GB2312" w:eastAsia="仿宋_GB2312"/>
          <w:bCs/>
          <w:szCs w:val="32"/>
        </w:rPr>
        <w:t>新能源</w:t>
      </w:r>
      <w:r>
        <w:rPr>
          <w:rFonts w:hint="eastAsia" w:ascii="仿宋_GB2312" w:eastAsia="仿宋_GB2312"/>
          <w:bCs/>
          <w:szCs w:val="32"/>
        </w:rPr>
        <w:t>汽车</w:t>
      </w:r>
      <w:r>
        <w:rPr>
          <w:rFonts w:hint="default" w:ascii="仿宋_GB2312" w:eastAsia="仿宋_GB2312"/>
          <w:bCs/>
          <w:szCs w:val="32"/>
        </w:rPr>
        <w:t>推广应用</w:t>
      </w:r>
      <w:r>
        <w:rPr>
          <w:rFonts w:hint="eastAsia" w:ascii="仿宋_GB2312" w:eastAsia="仿宋_GB2312"/>
          <w:bCs/>
          <w:szCs w:val="32"/>
        </w:rPr>
        <w:t>及充电</w:t>
      </w:r>
      <w:r>
        <w:rPr>
          <w:rFonts w:hint="default" w:ascii="仿宋_GB2312" w:eastAsia="仿宋_GB2312"/>
          <w:bCs/>
          <w:szCs w:val="32"/>
        </w:rPr>
        <w:t>基础</w:t>
      </w:r>
      <w:r>
        <w:rPr>
          <w:rFonts w:hint="eastAsia" w:ascii="仿宋_GB2312" w:eastAsia="仿宋_GB2312"/>
          <w:bCs/>
          <w:szCs w:val="32"/>
        </w:rPr>
        <w:t>设施相关政策、规划布局和建设推进情况，开辟专栏进行专题报道。各地</w:t>
      </w:r>
      <w:r>
        <w:rPr>
          <w:rFonts w:hint="eastAsia" w:ascii="仿宋_GB2312" w:eastAsia="仿宋_GB2312"/>
          <w:bCs/>
          <w:szCs w:val="32"/>
          <w:lang w:val="en-US" w:eastAsia="zh-CN"/>
        </w:rPr>
        <w:t>各部门</w:t>
      </w:r>
      <w:r>
        <w:rPr>
          <w:rFonts w:hint="eastAsia" w:ascii="仿宋_GB2312" w:eastAsia="仿宋_GB2312"/>
          <w:bCs/>
          <w:szCs w:val="32"/>
        </w:rPr>
        <w:t>要充分利用高杆广告牌、户外大型电子宣传牌等载体，在主要交通沿线、城镇人口集聚区、重要活动场馆、重点旅游景区、大型公共活动场所等区域进行公益宣传。大型文化、体育、会展、商贸等活动应尽量使用电动汽车作为公共交通工具</w:t>
      </w:r>
      <w:r>
        <w:rPr>
          <w:rFonts w:hint="eastAsia" w:ascii="仿宋_GB2312" w:eastAsia="仿宋_GB2312"/>
          <w:bCs/>
          <w:szCs w:val="32"/>
          <w:lang w:eastAsia="zh-CN"/>
        </w:rPr>
        <w:t>。</w:t>
      </w:r>
      <w:r>
        <w:rPr>
          <w:rFonts w:hint="eastAsia" w:ascii="仿宋_GB2312" w:eastAsia="仿宋_GB2312"/>
          <w:bCs/>
          <w:szCs w:val="32"/>
        </w:rPr>
        <w:t>加强绿色出行主题宣传，让社会各界全面了解充电</w:t>
      </w:r>
      <w:r>
        <w:rPr>
          <w:rFonts w:hint="default" w:ascii="仿宋_GB2312" w:eastAsia="仿宋_GB2312"/>
          <w:bCs/>
          <w:szCs w:val="32"/>
        </w:rPr>
        <w:t>基础</w:t>
      </w:r>
      <w:r>
        <w:rPr>
          <w:rFonts w:hint="eastAsia" w:ascii="仿宋_GB2312" w:eastAsia="仿宋_GB2312"/>
          <w:bCs/>
          <w:szCs w:val="32"/>
        </w:rPr>
        <w:t>设施，吸引更多社会资本参与充电</w:t>
      </w:r>
      <w:r>
        <w:rPr>
          <w:rFonts w:hint="default" w:ascii="仿宋_GB2312" w:eastAsia="仿宋_GB2312"/>
          <w:bCs/>
          <w:szCs w:val="32"/>
        </w:rPr>
        <w:t>基础</w:t>
      </w:r>
      <w:r>
        <w:rPr>
          <w:rFonts w:hint="eastAsia" w:ascii="仿宋_GB2312" w:eastAsia="仿宋_GB2312"/>
          <w:bCs/>
          <w:szCs w:val="32"/>
        </w:rPr>
        <w:t>设施的建设运营，引导消费者购买使用</w:t>
      </w:r>
      <w:r>
        <w:rPr>
          <w:rFonts w:hint="default" w:ascii="仿宋_GB2312" w:eastAsia="仿宋_GB2312"/>
          <w:bCs/>
          <w:szCs w:val="32"/>
        </w:rPr>
        <w:t>新能源汽车</w:t>
      </w:r>
      <w:r>
        <w:rPr>
          <w:rFonts w:hint="eastAsia" w:ascii="仿宋_GB2312" w:eastAsia="仿宋_GB2312"/>
          <w:bCs/>
          <w:szCs w:val="32"/>
        </w:rPr>
        <w:t>。加强舆论监督，曝光阻碍充电</w:t>
      </w:r>
      <w:r>
        <w:rPr>
          <w:rFonts w:hint="default" w:ascii="仿宋_GB2312" w:eastAsia="仿宋_GB2312"/>
          <w:bCs/>
          <w:szCs w:val="32"/>
        </w:rPr>
        <w:t>基础</w:t>
      </w:r>
      <w:r>
        <w:rPr>
          <w:rFonts w:hint="eastAsia" w:ascii="仿宋_GB2312" w:eastAsia="仿宋_GB2312"/>
          <w:bCs/>
          <w:szCs w:val="32"/>
        </w:rPr>
        <w:t>设施建设、损害消费者权益等行为，形成有利于充电</w:t>
      </w:r>
      <w:r>
        <w:rPr>
          <w:rFonts w:hint="default" w:ascii="仿宋_GB2312" w:eastAsia="仿宋_GB2312"/>
          <w:bCs/>
          <w:szCs w:val="32"/>
        </w:rPr>
        <w:t>基础</w:t>
      </w:r>
      <w:r>
        <w:rPr>
          <w:rFonts w:hint="eastAsia" w:ascii="仿宋_GB2312" w:eastAsia="仿宋_GB2312"/>
          <w:bCs/>
          <w:szCs w:val="32"/>
        </w:rPr>
        <w:t>设施发展的舆论氛围。</w:t>
      </w:r>
    </w:p>
    <w:p>
      <w:pPr>
        <w:pStyle w:val="4"/>
        <w:widowControl w:val="0"/>
        <w:numPr>
          <w:ilvl w:val="0"/>
          <w:numId w:val="6"/>
        </w:numPr>
        <w:spacing w:before="0" w:after="0" w:line="600" w:lineRule="exact"/>
        <w:ind w:firstLine="643" w:firstLineChars="200"/>
        <w:jc w:val="both"/>
        <w:rPr>
          <w:rFonts w:hint="eastAsia" w:ascii="楷体" w:hAnsi="楷体" w:eastAsia="楷体" w:cs="楷体"/>
          <w:bCs w:val="0"/>
          <w:kern w:val="2"/>
        </w:rPr>
      </w:pPr>
      <w:bookmarkStart w:id="108" w:name="_Toc82509868"/>
      <w:bookmarkStart w:id="109" w:name="_Toc24380"/>
      <w:bookmarkStart w:id="110" w:name="_Toc58249280"/>
      <w:bookmarkStart w:id="111" w:name="_Toc13521"/>
      <w:bookmarkStart w:id="112" w:name="_Toc20192"/>
      <w:r>
        <w:rPr>
          <w:rFonts w:hint="eastAsia" w:ascii="楷体" w:hAnsi="楷体" w:eastAsia="楷体" w:cs="楷体"/>
          <w:bCs w:val="0"/>
          <w:kern w:val="2"/>
        </w:rPr>
        <w:t>保障措施</w:t>
      </w:r>
      <w:bookmarkEnd w:id="108"/>
      <w:bookmarkEnd w:id="109"/>
      <w:bookmarkEnd w:id="110"/>
      <w:bookmarkEnd w:id="111"/>
      <w:bookmarkEnd w:id="112"/>
    </w:p>
    <w:p>
      <w:pPr>
        <w:pStyle w:val="39"/>
        <w:numPr>
          <w:ilvl w:val="0"/>
          <w:numId w:val="8"/>
        </w:numPr>
        <w:tabs>
          <w:tab w:val="left" w:pos="1050"/>
        </w:tabs>
        <w:spacing w:before="0" w:line="600" w:lineRule="exact"/>
        <w:ind w:left="5" w:firstLine="635"/>
        <w:rPr>
          <w:rFonts w:hint="eastAsia" w:ascii="仿宋_GB2312" w:eastAsia="仿宋_GB2312"/>
          <w:szCs w:val="32"/>
        </w:rPr>
      </w:pPr>
      <w:r>
        <w:rPr>
          <w:rFonts w:hint="eastAsia" w:ascii="仿宋_GB2312" w:eastAsia="仿宋_GB2312"/>
          <w:b/>
          <w:szCs w:val="32"/>
        </w:rPr>
        <w:t>简化建设审批程序。</w:t>
      </w:r>
      <w:r>
        <w:rPr>
          <w:rFonts w:hint="eastAsia" w:ascii="仿宋_GB2312" w:eastAsia="仿宋_GB2312"/>
          <w:szCs w:val="32"/>
        </w:rPr>
        <w:t>进一步简化充电基础设施建设审批流程，加快办理速度。个人在自有停车库（位），各居住区、单位在既有停车场（位）建设安装充电设施（含配套）的，无需办理建设用地规划许可证、建设工程规划许可证和施工许可证。在公共停车场同步建设充电设施，无需单独办理建设工程规划许可和施工许可手续。新建单独占地的集中式充换电站，符合国土空间规划的，有关部门应按程序及时办理建设用地规划许可、建设工程规划许可和施工许可手续。</w:t>
      </w:r>
    </w:p>
    <w:p>
      <w:pPr>
        <w:pStyle w:val="39"/>
        <w:widowControl/>
        <w:numPr>
          <w:ilvl w:val="0"/>
          <w:numId w:val="8"/>
        </w:numPr>
        <w:tabs>
          <w:tab w:val="left" w:pos="1050"/>
        </w:tabs>
        <w:spacing w:before="0" w:line="600" w:lineRule="exact"/>
        <w:ind w:left="5" w:firstLine="635"/>
        <w:rPr>
          <w:rFonts w:ascii="仿宋_GB2312" w:eastAsia="仿宋_GB2312"/>
          <w:bCs/>
          <w:szCs w:val="32"/>
        </w:rPr>
      </w:pPr>
      <w:r>
        <w:rPr>
          <w:rFonts w:hint="eastAsia" w:ascii="仿宋_GB2312" w:eastAsia="仿宋_GB2312"/>
          <w:b/>
          <w:szCs w:val="32"/>
        </w:rPr>
        <w:t>加强价格引导。</w:t>
      </w:r>
      <w:r>
        <w:rPr>
          <w:rFonts w:hint="eastAsia" w:ascii="仿宋_GB2312" w:eastAsia="仿宋_GB2312"/>
          <w:bCs/>
          <w:szCs w:val="32"/>
        </w:rPr>
        <w:t>落实国家充换电基础设施用电电价政策。直接向电网企业报装接电的经营性集中式电动汽车充换电设施用电，具备单独计量</w:t>
      </w:r>
      <w:r>
        <w:rPr>
          <w:rFonts w:hint="eastAsia" w:ascii="仿宋_GB2312" w:eastAsia="仿宋_GB2312"/>
          <w:bCs/>
          <w:szCs w:val="32"/>
          <w:lang w:eastAsia="zh-CN"/>
        </w:rPr>
        <w:t>条件</w:t>
      </w:r>
      <w:r>
        <w:rPr>
          <w:rFonts w:hint="eastAsia" w:ascii="仿宋_GB2312" w:eastAsia="仿宋_GB2312"/>
          <w:bCs/>
          <w:szCs w:val="32"/>
        </w:rPr>
        <w:t>的，统一执行工商业及其他用电（两部制）目录销售电价</w:t>
      </w:r>
      <w:r>
        <w:rPr>
          <w:rFonts w:hint="default" w:ascii="仿宋_GB2312" w:eastAsia="仿宋_GB2312"/>
          <w:bCs/>
          <w:szCs w:val="32"/>
        </w:rPr>
        <w:t>，</w:t>
      </w:r>
      <w:r>
        <w:rPr>
          <w:rFonts w:hint="eastAsia" w:ascii="仿宋_GB2312" w:eastAsia="仿宋_GB2312"/>
          <w:bCs/>
          <w:szCs w:val="32"/>
        </w:rPr>
        <w:t>2025年底前免收基本电费，经营性集中式充换电设施的认定可参照广州等先进城市标准执行，其他充电设施按其所在场所执行分类目录销售电价。广西壮族自治区峰谷分时电价方案实施范围内的电动汽车充电设施用电用户执行峰谷分时电价政策。进一步完善充电服务价格形成机制，结合市场发展情况，逐步放开，通过市场竞争形成充电服务费收费标准。</w:t>
      </w:r>
    </w:p>
    <w:p>
      <w:pPr>
        <w:pStyle w:val="39"/>
        <w:numPr>
          <w:ilvl w:val="0"/>
          <w:numId w:val="8"/>
        </w:numPr>
        <w:tabs>
          <w:tab w:val="left" w:pos="840"/>
          <w:tab w:val="left" w:pos="1050"/>
        </w:tabs>
        <w:spacing w:before="0" w:line="600" w:lineRule="exact"/>
        <w:ind w:left="5" w:firstLine="635"/>
        <w:rPr>
          <w:rFonts w:hint="eastAsia" w:ascii="仿宋_GB2312" w:eastAsia="仿宋_GB2312"/>
          <w:szCs w:val="32"/>
        </w:rPr>
      </w:pPr>
      <w:r>
        <w:rPr>
          <w:rFonts w:hint="eastAsia" w:ascii="仿宋_GB2312" w:eastAsia="仿宋_GB2312"/>
          <w:b/>
          <w:szCs w:val="32"/>
        </w:rPr>
        <w:t>加大财政支持力度。</w:t>
      </w:r>
      <w:r>
        <w:rPr>
          <w:rFonts w:hint="eastAsia" w:ascii="仿宋_GB2312" w:eastAsia="仿宋_GB2312"/>
          <w:szCs w:val="32"/>
        </w:rPr>
        <w:t>国家机关、事业单位在自有停车场建设的充电设施，应优先引入社会资本建设运营。积极争取</w:t>
      </w:r>
      <w:r>
        <w:rPr>
          <w:rFonts w:ascii="仿宋_GB2312" w:eastAsia="仿宋_GB2312"/>
          <w:bCs/>
          <w:szCs w:val="32"/>
        </w:rPr>
        <w:t>政府和社会资本合作（</w:t>
      </w:r>
      <w:r>
        <w:rPr>
          <w:rFonts w:hint="eastAsia" w:ascii="仿宋_GB2312" w:eastAsia="仿宋_GB2312"/>
          <w:szCs w:val="32"/>
        </w:rPr>
        <w:t>PPP</w:t>
      </w:r>
      <w:r>
        <w:rPr>
          <w:rFonts w:hint="default" w:ascii="仿宋_GB2312" w:eastAsia="仿宋_GB2312"/>
          <w:szCs w:val="32"/>
        </w:rPr>
        <w:t>）</w:t>
      </w:r>
      <w:r>
        <w:rPr>
          <w:rFonts w:hint="eastAsia" w:ascii="仿宋_GB2312" w:eastAsia="仿宋_GB2312"/>
          <w:szCs w:val="32"/>
        </w:rPr>
        <w:t>项目前期工作经费、补短板领域政府支持引导民间投资专项等中央预算内资金对地方政府充电设施建设项目予以倾斜支持，鼓励地方政府主管部门按照政策和财力水平，通过财政补助、无偿划拨充电设施建设场所等方式，给予适当投融资支持。适时研究增设政府奖励，对在自治区布局和建设到一定规模以上的企业给予奖励。</w:t>
      </w:r>
    </w:p>
    <w:p>
      <w:pPr>
        <w:pStyle w:val="39"/>
        <w:numPr>
          <w:ilvl w:val="0"/>
          <w:numId w:val="8"/>
        </w:numPr>
        <w:tabs>
          <w:tab w:val="left" w:pos="840"/>
          <w:tab w:val="left" w:pos="1050"/>
        </w:tabs>
        <w:spacing w:before="0" w:line="600" w:lineRule="exact"/>
        <w:ind w:left="5" w:firstLine="635"/>
        <w:rPr>
          <w:rFonts w:ascii="仿宋_GB2312" w:eastAsia="仿宋_GB2312"/>
          <w:bCs/>
          <w:szCs w:val="32"/>
        </w:rPr>
      </w:pPr>
      <w:r>
        <w:rPr>
          <w:rFonts w:ascii="仿宋_GB2312" w:eastAsia="仿宋_GB2312"/>
          <w:b/>
          <w:szCs w:val="32"/>
        </w:rPr>
        <w:t>加强金融服务支撑。</w:t>
      </w:r>
      <w:r>
        <w:rPr>
          <w:rFonts w:ascii="仿宋_GB2312" w:eastAsia="仿宋_GB2312"/>
          <w:bCs/>
          <w:szCs w:val="32"/>
        </w:rPr>
        <w:t>鼓励金融机构创新金融产品，支持充电设施建设运营。支持符合条件的充电设施企业通过在境内外资本市场上市（挂牌）、发行企业债券、公司债券、非金融企业债务融资工具等方式扩大直接融资。推广政府和社会资本合作（PPP）等模式，鼓励社会资本参与充电基础设施建设运营。鼓励各级政府、园区、景区等主管部门给予一定额度的贷款贴息及其他形式的融资支持。完善充电设施保险制度，降低企业运营和用户使用风险。</w:t>
      </w:r>
    </w:p>
    <w:p>
      <w:pPr>
        <w:pStyle w:val="39"/>
        <w:numPr>
          <w:ilvl w:val="0"/>
          <w:numId w:val="8"/>
        </w:numPr>
        <w:tabs>
          <w:tab w:val="left" w:pos="840"/>
          <w:tab w:val="left" w:pos="1050"/>
        </w:tabs>
        <w:ind w:left="5" w:firstLine="635"/>
        <w:rPr>
          <w:rFonts w:ascii="仿宋_GB2312" w:eastAsia="仿宋_GB2312"/>
          <w:b/>
          <w:szCs w:val="32"/>
        </w:rPr>
      </w:pPr>
      <w:r>
        <w:rPr>
          <w:rFonts w:ascii="仿宋_GB2312" w:eastAsia="仿宋_GB2312"/>
          <w:b/>
          <w:szCs w:val="32"/>
        </w:rPr>
        <w:t>贯彻落实税收优惠。</w:t>
      </w:r>
      <w:r>
        <w:rPr>
          <w:rFonts w:ascii="仿宋_GB2312" w:eastAsia="仿宋_GB2312"/>
          <w:bCs/>
          <w:szCs w:val="32"/>
        </w:rPr>
        <w:t>对于纯电动汽车、插电式混合动力（含增程式）汽车、燃料电池汽车，属于《免征车辆购置税的新能源汽车车型目录》的新能源汽车类的免征车辆购置税。优化分类交通管理及金融、保险等支持措施。破除地方保护，建立统一开放公平市场体系,鼓励各市加大公共服务、共享出行等领域车辆运营支持力度，给予新能源汽车通行、使用等优惠政策。</w:t>
      </w:r>
    </w:p>
    <w:p>
      <w:pPr>
        <w:pStyle w:val="39"/>
        <w:spacing w:before="0" w:line="600" w:lineRule="exact"/>
        <w:ind w:firstLine="643" w:firstLineChars="200"/>
        <w:rPr>
          <w:rFonts w:hint="eastAsia" w:ascii="仿宋_GB2312" w:eastAsia="仿宋_GB2312"/>
          <w:szCs w:val="32"/>
        </w:rPr>
      </w:pPr>
      <w:r>
        <w:rPr>
          <w:rFonts w:ascii="仿宋_GB2312" w:eastAsia="仿宋_GB2312"/>
          <w:b/>
          <w:szCs w:val="32"/>
        </w:rPr>
        <w:t>6</w:t>
      </w:r>
      <w:r>
        <w:rPr>
          <w:rFonts w:hint="eastAsia" w:ascii="仿宋_GB2312" w:eastAsia="仿宋_GB2312"/>
          <w:b/>
          <w:szCs w:val="32"/>
        </w:rPr>
        <w:t>.</w:t>
      </w:r>
      <w:r>
        <w:rPr>
          <w:rFonts w:ascii="仿宋_GB2312" w:eastAsia="仿宋_GB2312"/>
          <w:b/>
          <w:szCs w:val="32"/>
        </w:rPr>
        <w:t xml:space="preserve"> </w:t>
      </w:r>
      <w:r>
        <w:rPr>
          <w:rFonts w:hint="eastAsia" w:ascii="仿宋_GB2312" w:eastAsia="仿宋_GB2312"/>
          <w:b/>
          <w:szCs w:val="32"/>
        </w:rPr>
        <w:t>严格充电设施安全监督。</w:t>
      </w:r>
      <w:r>
        <w:rPr>
          <w:rFonts w:hint="eastAsia" w:ascii="仿宋_GB2312" w:eastAsia="仿宋_GB2312"/>
          <w:szCs w:val="32"/>
        </w:rPr>
        <w:t>建立充电设施安全监管制度，明确各市人民政府的属地安全监管职责和各行业主管部门的协同监管职责。加强监督检查，指导、督促充电设施建设运营企业落实安全生产主体责任，督促充电设施运营使用单位或个人加强对充电设施及其设置场所的日常安全检查及管理，及时消除安全隐患。</w:t>
      </w:r>
      <w:bookmarkEnd w:id="14"/>
    </w:p>
    <w:sectPr>
      <w:footerReference r:id="rId6" w:type="default"/>
      <w:pgSz w:w="11907" w:h="16840"/>
      <w:pgMar w:top="1440" w:right="1797" w:bottom="1440" w:left="1797" w:header="851" w:footer="85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2000000000000000000"/>
    <w:charset w:val="86"/>
    <w:family w:val="auto"/>
    <w:pitch w:val="default"/>
    <w:sig w:usb0="A00002BF" w:usb1="184F6CFA" w:usb2="00000012" w:usb3="00000000" w:csb0="00040001" w:csb1="00000000"/>
  </w:font>
  <w:font w:name="方正小标宋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fldChar w:fldCharType="begin"/>
    </w:r>
    <w:r>
      <w:rPr>
        <w:rStyle w:val="25"/>
      </w:rPr>
      <w:instrText xml:space="preserve">PAGE  </w:instrTex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hint="eastAsia" w:ascii="仿宋" w:hAnsi="仿宋" w:eastAsia="仿宋" w:cs="仿宋"/>
        <w:sz w:val="28"/>
        <w:szCs w:val="28"/>
        <w:lang w:val="zh-CN"/>
      </w:rPr>
      <w:t>14</w:t>
    </w:r>
    <w:r>
      <w:rPr>
        <w:rFonts w:hint="eastAsia" w:ascii="仿宋" w:hAnsi="仿宋" w:eastAsia="仿宋" w:cs="仿宋"/>
        <w:sz w:val="28"/>
        <w:szCs w:val="28"/>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A607A3"/>
    <w:multiLevelType w:val="singleLevel"/>
    <w:tmpl w:val="E2A607A3"/>
    <w:lvl w:ilvl="0" w:tentative="0">
      <w:start w:val="1"/>
      <w:numFmt w:val="chineseCounting"/>
      <w:suff w:val="nothing"/>
      <w:lvlText w:val="（%1）"/>
      <w:lvlJc w:val="left"/>
      <w:pPr>
        <w:ind w:left="0" w:firstLine="420"/>
      </w:pPr>
      <w:rPr>
        <w:rFonts w:hint="eastAsia"/>
      </w:rPr>
    </w:lvl>
  </w:abstractNum>
  <w:abstractNum w:abstractNumId="1">
    <w:nsid w:val="E3D971B5"/>
    <w:multiLevelType w:val="singleLevel"/>
    <w:tmpl w:val="E3D971B5"/>
    <w:lvl w:ilvl="0" w:tentative="0">
      <w:start w:val="1"/>
      <w:numFmt w:val="decimal"/>
      <w:lvlText w:val="%1."/>
      <w:lvlJc w:val="left"/>
      <w:pPr>
        <w:ind w:left="425" w:hanging="425"/>
      </w:pPr>
      <w:rPr>
        <w:rFonts w:hint="default"/>
      </w:rPr>
    </w:lvl>
  </w:abstractNum>
  <w:abstractNum w:abstractNumId="2">
    <w:nsid w:val="F31F62E0"/>
    <w:multiLevelType w:val="singleLevel"/>
    <w:tmpl w:val="F31F62E0"/>
    <w:lvl w:ilvl="0" w:tentative="0">
      <w:start w:val="1"/>
      <w:numFmt w:val="decimal"/>
      <w:lvlText w:val="%1."/>
      <w:lvlJc w:val="left"/>
      <w:pPr>
        <w:ind w:left="425" w:hanging="425"/>
      </w:pPr>
      <w:rPr>
        <w:rFonts w:hint="default"/>
      </w:rPr>
    </w:lvl>
  </w:abstractNum>
  <w:abstractNum w:abstractNumId="3">
    <w:nsid w:val="FF47E08E"/>
    <w:multiLevelType w:val="singleLevel"/>
    <w:tmpl w:val="FF47E08E"/>
    <w:lvl w:ilvl="0" w:tentative="0">
      <w:start w:val="1"/>
      <w:numFmt w:val="chineseCounting"/>
      <w:suff w:val="nothing"/>
      <w:lvlText w:val="（%1）"/>
      <w:lvlJc w:val="left"/>
      <w:pPr>
        <w:ind w:left="0" w:firstLine="420"/>
      </w:pPr>
      <w:rPr>
        <w:rFonts w:hint="eastAsia"/>
      </w:rPr>
    </w:lvl>
  </w:abstractNum>
  <w:abstractNum w:abstractNumId="4">
    <w:nsid w:val="05148D1C"/>
    <w:multiLevelType w:val="singleLevel"/>
    <w:tmpl w:val="05148D1C"/>
    <w:lvl w:ilvl="0" w:tentative="0">
      <w:start w:val="1"/>
      <w:numFmt w:val="decimal"/>
      <w:lvlText w:val="%1."/>
      <w:lvlJc w:val="left"/>
      <w:pPr>
        <w:ind w:left="425" w:hanging="425"/>
      </w:pPr>
      <w:rPr>
        <w:rFonts w:hint="default"/>
      </w:rPr>
    </w:lvl>
  </w:abstractNum>
  <w:abstractNum w:abstractNumId="5">
    <w:nsid w:val="3680D511"/>
    <w:multiLevelType w:val="singleLevel"/>
    <w:tmpl w:val="3680D511"/>
    <w:lvl w:ilvl="0" w:tentative="0">
      <w:start w:val="1"/>
      <w:numFmt w:val="chineseCounting"/>
      <w:suff w:val="nothing"/>
      <w:lvlText w:val="（%1）"/>
      <w:lvlJc w:val="left"/>
      <w:pPr>
        <w:ind w:left="0" w:firstLine="420"/>
      </w:pPr>
      <w:rPr>
        <w:rFonts w:hint="eastAsia"/>
      </w:rPr>
    </w:lvl>
  </w:abstractNum>
  <w:abstractNum w:abstractNumId="6">
    <w:nsid w:val="49DDEF59"/>
    <w:multiLevelType w:val="singleLevel"/>
    <w:tmpl w:val="49DDEF59"/>
    <w:lvl w:ilvl="0" w:tentative="0">
      <w:start w:val="1"/>
      <w:numFmt w:val="chineseCounting"/>
      <w:suff w:val="nothing"/>
      <w:lvlText w:val="%1、"/>
      <w:lvlJc w:val="left"/>
      <w:pPr>
        <w:ind w:left="0" w:firstLine="420"/>
      </w:pPr>
      <w:rPr>
        <w:rFonts w:hint="eastAsia"/>
      </w:rPr>
    </w:lvl>
  </w:abstractNum>
  <w:abstractNum w:abstractNumId="7">
    <w:nsid w:val="61E846E0"/>
    <w:multiLevelType w:val="singleLevel"/>
    <w:tmpl w:val="61E846E0"/>
    <w:lvl w:ilvl="0" w:tentative="0">
      <w:start w:val="1"/>
      <w:numFmt w:val="chineseCounting"/>
      <w:suff w:val="nothing"/>
      <w:lvlText w:val="（%1）"/>
      <w:lvlJc w:val="left"/>
      <w:pPr>
        <w:ind w:left="0" w:firstLine="420"/>
      </w:pPr>
      <w:rPr>
        <w:rFonts w:hint="eastAsia"/>
      </w:rPr>
    </w:lvl>
  </w:abstractNum>
  <w:num w:numId="1">
    <w:abstractNumId w:val="6"/>
  </w:num>
  <w:num w:numId="2">
    <w:abstractNumId w:val="5"/>
  </w:num>
  <w:num w:numId="3">
    <w:abstractNumId w:val="2"/>
  </w:num>
  <w:num w:numId="4">
    <w:abstractNumId w:val="3"/>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5"/>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2B"/>
    <w:rsid w:val="00001456"/>
    <w:rsid w:val="00001D08"/>
    <w:rsid w:val="000034D0"/>
    <w:rsid w:val="00003579"/>
    <w:rsid w:val="000036BF"/>
    <w:rsid w:val="0000388A"/>
    <w:rsid w:val="000049B6"/>
    <w:rsid w:val="00004E0B"/>
    <w:rsid w:val="00007794"/>
    <w:rsid w:val="000109A9"/>
    <w:rsid w:val="00010A56"/>
    <w:rsid w:val="0001135C"/>
    <w:rsid w:val="0001308E"/>
    <w:rsid w:val="00013B24"/>
    <w:rsid w:val="00015723"/>
    <w:rsid w:val="000160A6"/>
    <w:rsid w:val="00017B32"/>
    <w:rsid w:val="0002055E"/>
    <w:rsid w:val="0002448A"/>
    <w:rsid w:val="0002473B"/>
    <w:rsid w:val="00024C8A"/>
    <w:rsid w:val="0002505D"/>
    <w:rsid w:val="000259F8"/>
    <w:rsid w:val="00026082"/>
    <w:rsid w:val="00026143"/>
    <w:rsid w:val="00026314"/>
    <w:rsid w:val="000269CA"/>
    <w:rsid w:val="00026AAC"/>
    <w:rsid w:val="00031ADD"/>
    <w:rsid w:val="00032F9D"/>
    <w:rsid w:val="00033399"/>
    <w:rsid w:val="00033DA9"/>
    <w:rsid w:val="00034086"/>
    <w:rsid w:val="000352A2"/>
    <w:rsid w:val="0003557E"/>
    <w:rsid w:val="00035E52"/>
    <w:rsid w:val="00037D90"/>
    <w:rsid w:val="00041187"/>
    <w:rsid w:val="00041E3A"/>
    <w:rsid w:val="00041E66"/>
    <w:rsid w:val="00042C25"/>
    <w:rsid w:val="000430DA"/>
    <w:rsid w:val="00043935"/>
    <w:rsid w:val="00043F05"/>
    <w:rsid w:val="000447BD"/>
    <w:rsid w:val="0004532F"/>
    <w:rsid w:val="00045A11"/>
    <w:rsid w:val="000460D9"/>
    <w:rsid w:val="00051353"/>
    <w:rsid w:val="00052D0F"/>
    <w:rsid w:val="00053339"/>
    <w:rsid w:val="00053582"/>
    <w:rsid w:val="00053DE0"/>
    <w:rsid w:val="00054DFA"/>
    <w:rsid w:val="00056F7F"/>
    <w:rsid w:val="00057891"/>
    <w:rsid w:val="00061300"/>
    <w:rsid w:val="000613E6"/>
    <w:rsid w:val="00063BF8"/>
    <w:rsid w:val="00063D03"/>
    <w:rsid w:val="00063F8C"/>
    <w:rsid w:val="00064DCC"/>
    <w:rsid w:val="000653FA"/>
    <w:rsid w:val="000714FD"/>
    <w:rsid w:val="00071C08"/>
    <w:rsid w:val="00072A9E"/>
    <w:rsid w:val="00072D10"/>
    <w:rsid w:val="00073CCA"/>
    <w:rsid w:val="00073E67"/>
    <w:rsid w:val="000745B9"/>
    <w:rsid w:val="00074C85"/>
    <w:rsid w:val="00074E35"/>
    <w:rsid w:val="000756EC"/>
    <w:rsid w:val="00075D84"/>
    <w:rsid w:val="000765E6"/>
    <w:rsid w:val="000768B0"/>
    <w:rsid w:val="000773F7"/>
    <w:rsid w:val="00077807"/>
    <w:rsid w:val="000809E7"/>
    <w:rsid w:val="00081545"/>
    <w:rsid w:val="00081C5E"/>
    <w:rsid w:val="0008206D"/>
    <w:rsid w:val="00083473"/>
    <w:rsid w:val="00083FA7"/>
    <w:rsid w:val="00085AFB"/>
    <w:rsid w:val="00087475"/>
    <w:rsid w:val="000879F7"/>
    <w:rsid w:val="00087BD8"/>
    <w:rsid w:val="00087C87"/>
    <w:rsid w:val="00090BC7"/>
    <w:rsid w:val="00091BB7"/>
    <w:rsid w:val="0009590B"/>
    <w:rsid w:val="0009666A"/>
    <w:rsid w:val="00096F49"/>
    <w:rsid w:val="000A270E"/>
    <w:rsid w:val="000A4211"/>
    <w:rsid w:val="000A43F4"/>
    <w:rsid w:val="000A46F2"/>
    <w:rsid w:val="000A48EB"/>
    <w:rsid w:val="000A508B"/>
    <w:rsid w:val="000A5337"/>
    <w:rsid w:val="000A5AA1"/>
    <w:rsid w:val="000A7E23"/>
    <w:rsid w:val="000B06C5"/>
    <w:rsid w:val="000B0F6A"/>
    <w:rsid w:val="000B3CC4"/>
    <w:rsid w:val="000B3F2C"/>
    <w:rsid w:val="000B6F1C"/>
    <w:rsid w:val="000C2188"/>
    <w:rsid w:val="000C2246"/>
    <w:rsid w:val="000C226D"/>
    <w:rsid w:val="000C236F"/>
    <w:rsid w:val="000C2DD5"/>
    <w:rsid w:val="000C3EEC"/>
    <w:rsid w:val="000C4D14"/>
    <w:rsid w:val="000C4EF2"/>
    <w:rsid w:val="000C57F4"/>
    <w:rsid w:val="000C5CA3"/>
    <w:rsid w:val="000C6801"/>
    <w:rsid w:val="000D365C"/>
    <w:rsid w:val="000D4C58"/>
    <w:rsid w:val="000D5274"/>
    <w:rsid w:val="000D5985"/>
    <w:rsid w:val="000D5E9D"/>
    <w:rsid w:val="000D697F"/>
    <w:rsid w:val="000E0F8C"/>
    <w:rsid w:val="000E1D35"/>
    <w:rsid w:val="000E20D8"/>
    <w:rsid w:val="000E2DE2"/>
    <w:rsid w:val="000E2E4F"/>
    <w:rsid w:val="000E3450"/>
    <w:rsid w:val="000E3AB6"/>
    <w:rsid w:val="000E3B0C"/>
    <w:rsid w:val="000E3F5A"/>
    <w:rsid w:val="000E3F76"/>
    <w:rsid w:val="000E43F1"/>
    <w:rsid w:val="000E4EF7"/>
    <w:rsid w:val="000E50A3"/>
    <w:rsid w:val="000E7186"/>
    <w:rsid w:val="000E7A71"/>
    <w:rsid w:val="000F1871"/>
    <w:rsid w:val="000F31C8"/>
    <w:rsid w:val="000F31EB"/>
    <w:rsid w:val="000F394B"/>
    <w:rsid w:val="000F5A05"/>
    <w:rsid w:val="000F5B55"/>
    <w:rsid w:val="001005B8"/>
    <w:rsid w:val="001015B8"/>
    <w:rsid w:val="0010215F"/>
    <w:rsid w:val="001043B9"/>
    <w:rsid w:val="00104417"/>
    <w:rsid w:val="0010628F"/>
    <w:rsid w:val="0010678D"/>
    <w:rsid w:val="001102A2"/>
    <w:rsid w:val="0011081A"/>
    <w:rsid w:val="001112B3"/>
    <w:rsid w:val="00111F56"/>
    <w:rsid w:val="00112ECC"/>
    <w:rsid w:val="00112F4E"/>
    <w:rsid w:val="001138B6"/>
    <w:rsid w:val="001143F8"/>
    <w:rsid w:val="00115552"/>
    <w:rsid w:val="00115CBC"/>
    <w:rsid w:val="00116735"/>
    <w:rsid w:val="0011690C"/>
    <w:rsid w:val="00117931"/>
    <w:rsid w:val="00117C9E"/>
    <w:rsid w:val="00122EAA"/>
    <w:rsid w:val="00123327"/>
    <w:rsid w:val="00123422"/>
    <w:rsid w:val="00123BA6"/>
    <w:rsid w:val="00123F8A"/>
    <w:rsid w:val="001249D3"/>
    <w:rsid w:val="00126F62"/>
    <w:rsid w:val="001271B2"/>
    <w:rsid w:val="001309AD"/>
    <w:rsid w:val="00131847"/>
    <w:rsid w:val="001346AB"/>
    <w:rsid w:val="00134AF5"/>
    <w:rsid w:val="00134B41"/>
    <w:rsid w:val="00134D8E"/>
    <w:rsid w:val="001400A1"/>
    <w:rsid w:val="001420E6"/>
    <w:rsid w:val="00142929"/>
    <w:rsid w:val="00143CF8"/>
    <w:rsid w:val="0014464B"/>
    <w:rsid w:val="00144AAD"/>
    <w:rsid w:val="001451F3"/>
    <w:rsid w:val="00145989"/>
    <w:rsid w:val="0014786F"/>
    <w:rsid w:val="0015094C"/>
    <w:rsid w:val="00151369"/>
    <w:rsid w:val="001513FF"/>
    <w:rsid w:val="00151E05"/>
    <w:rsid w:val="00153E33"/>
    <w:rsid w:val="00154BFB"/>
    <w:rsid w:val="00155976"/>
    <w:rsid w:val="001563BD"/>
    <w:rsid w:val="001571EF"/>
    <w:rsid w:val="00157299"/>
    <w:rsid w:val="001573A6"/>
    <w:rsid w:val="00160CD1"/>
    <w:rsid w:val="00164366"/>
    <w:rsid w:val="00164692"/>
    <w:rsid w:val="00164A82"/>
    <w:rsid w:val="00164CA7"/>
    <w:rsid w:val="001656D2"/>
    <w:rsid w:val="00165889"/>
    <w:rsid w:val="001658A0"/>
    <w:rsid w:val="00166C80"/>
    <w:rsid w:val="00167C46"/>
    <w:rsid w:val="001734A2"/>
    <w:rsid w:val="00174E50"/>
    <w:rsid w:val="00175ED0"/>
    <w:rsid w:val="00176318"/>
    <w:rsid w:val="00176641"/>
    <w:rsid w:val="0017717E"/>
    <w:rsid w:val="00177F17"/>
    <w:rsid w:val="00180562"/>
    <w:rsid w:val="00181420"/>
    <w:rsid w:val="001822C7"/>
    <w:rsid w:val="00182E7E"/>
    <w:rsid w:val="0018404F"/>
    <w:rsid w:val="0018677B"/>
    <w:rsid w:val="00186EE2"/>
    <w:rsid w:val="00187199"/>
    <w:rsid w:val="0018759A"/>
    <w:rsid w:val="00187CB1"/>
    <w:rsid w:val="00190622"/>
    <w:rsid w:val="00191344"/>
    <w:rsid w:val="00191EAC"/>
    <w:rsid w:val="00194138"/>
    <w:rsid w:val="00194838"/>
    <w:rsid w:val="00195D35"/>
    <w:rsid w:val="00195E3D"/>
    <w:rsid w:val="0019705B"/>
    <w:rsid w:val="00197270"/>
    <w:rsid w:val="00197446"/>
    <w:rsid w:val="00197F97"/>
    <w:rsid w:val="001A0D9C"/>
    <w:rsid w:val="001A1B20"/>
    <w:rsid w:val="001A4D5F"/>
    <w:rsid w:val="001A646A"/>
    <w:rsid w:val="001A6AAE"/>
    <w:rsid w:val="001A76C3"/>
    <w:rsid w:val="001B01A2"/>
    <w:rsid w:val="001B03F5"/>
    <w:rsid w:val="001B0988"/>
    <w:rsid w:val="001B0BA3"/>
    <w:rsid w:val="001B13D8"/>
    <w:rsid w:val="001B24B6"/>
    <w:rsid w:val="001B2A98"/>
    <w:rsid w:val="001B425D"/>
    <w:rsid w:val="001B4301"/>
    <w:rsid w:val="001B437F"/>
    <w:rsid w:val="001B44FD"/>
    <w:rsid w:val="001B62DE"/>
    <w:rsid w:val="001B6D62"/>
    <w:rsid w:val="001B7507"/>
    <w:rsid w:val="001B7F28"/>
    <w:rsid w:val="001C1089"/>
    <w:rsid w:val="001C11FC"/>
    <w:rsid w:val="001C3012"/>
    <w:rsid w:val="001C32AE"/>
    <w:rsid w:val="001C3B59"/>
    <w:rsid w:val="001C3F95"/>
    <w:rsid w:val="001C72CA"/>
    <w:rsid w:val="001C7718"/>
    <w:rsid w:val="001D0063"/>
    <w:rsid w:val="001D009D"/>
    <w:rsid w:val="001D3D4A"/>
    <w:rsid w:val="001D450A"/>
    <w:rsid w:val="001D4AA5"/>
    <w:rsid w:val="001D55B3"/>
    <w:rsid w:val="001D57E7"/>
    <w:rsid w:val="001D61D6"/>
    <w:rsid w:val="001D7D60"/>
    <w:rsid w:val="001E1C47"/>
    <w:rsid w:val="001E1D06"/>
    <w:rsid w:val="001E38BC"/>
    <w:rsid w:val="001E3D81"/>
    <w:rsid w:val="001E411D"/>
    <w:rsid w:val="001E4297"/>
    <w:rsid w:val="001E481D"/>
    <w:rsid w:val="001E6FA7"/>
    <w:rsid w:val="001F029F"/>
    <w:rsid w:val="001F0FEE"/>
    <w:rsid w:val="001F1056"/>
    <w:rsid w:val="001F157E"/>
    <w:rsid w:val="001F1B55"/>
    <w:rsid w:val="001F3094"/>
    <w:rsid w:val="001F3D81"/>
    <w:rsid w:val="001F3F6E"/>
    <w:rsid w:val="001F3FAA"/>
    <w:rsid w:val="001F483E"/>
    <w:rsid w:val="001F4BA5"/>
    <w:rsid w:val="001F567D"/>
    <w:rsid w:val="001F67CC"/>
    <w:rsid w:val="001F7DC0"/>
    <w:rsid w:val="00201D3C"/>
    <w:rsid w:val="00201E9E"/>
    <w:rsid w:val="00202DD8"/>
    <w:rsid w:val="00202FF2"/>
    <w:rsid w:val="00203AA0"/>
    <w:rsid w:val="00205A84"/>
    <w:rsid w:val="00205C31"/>
    <w:rsid w:val="00207CF5"/>
    <w:rsid w:val="00211B91"/>
    <w:rsid w:val="00212184"/>
    <w:rsid w:val="00212313"/>
    <w:rsid w:val="00212C54"/>
    <w:rsid w:val="00214982"/>
    <w:rsid w:val="00216135"/>
    <w:rsid w:val="00216F2B"/>
    <w:rsid w:val="002178F1"/>
    <w:rsid w:val="00221778"/>
    <w:rsid w:val="00222A1B"/>
    <w:rsid w:val="00224AD7"/>
    <w:rsid w:val="002266E5"/>
    <w:rsid w:val="00232536"/>
    <w:rsid w:val="00233D0D"/>
    <w:rsid w:val="00235F64"/>
    <w:rsid w:val="0023603A"/>
    <w:rsid w:val="002364CF"/>
    <w:rsid w:val="00236AE7"/>
    <w:rsid w:val="00236F5F"/>
    <w:rsid w:val="00237A62"/>
    <w:rsid w:val="00237C42"/>
    <w:rsid w:val="00240919"/>
    <w:rsid w:val="002418C0"/>
    <w:rsid w:val="00243C7B"/>
    <w:rsid w:val="00244514"/>
    <w:rsid w:val="002446BD"/>
    <w:rsid w:val="00244D3F"/>
    <w:rsid w:val="00245165"/>
    <w:rsid w:val="00245F39"/>
    <w:rsid w:val="002477BC"/>
    <w:rsid w:val="00250B4C"/>
    <w:rsid w:val="002526AC"/>
    <w:rsid w:val="00255ECC"/>
    <w:rsid w:val="00256165"/>
    <w:rsid w:val="0025662B"/>
    <w:rsid w:val="00256C6B"/>
    <w:rsid w:val="00257364"/>
    <w:rsid w:val="00257912"/>
    <w:rsid w:val="00262A11"/>
    <w:rsid w:val="00262CC6"/>
    <w:rsid w:val="00265C1E"/>
    <w:rsid w:val="002679E6"/>
    <w:rsid w:val="0027008B"/>
    <w:rsid w:val="0027153B"/>
    <w:rsid w:val="002724F4"/>
    <w:rsid w:val="00272992"/>
    <w:rsid w:val="0027414F"/>
    <w:rsid w:val="00277C40"/>
    <w:rsid w:val="0028000E"/>
    <w:rsid w:val="00280C3E"/>
    <w:rsid w:val="00282E71"/>
    <w:rsid w:val="00283847"/>
    <w:rsid w:val="0028390E"/>
    <w:rsid w:val="00283D2A"/>
    <w:rsid w:val="00283EA3"/>
    <w:rsid w:val="00284ED3"/>
    <w:rsid w:val="00284FC0"/>
    <w:rsid w:val="00285EB4"/>
    <w:rsid w:val="002862A7"/>
    <w:rsid w:val="0028685A"/>
    <w:rsid w:val="00286DCF"/>
    <w:rsid w:val="00286FCA"/>
    <w:rsid w:val="00287A50"/>
    <w:rsid w:val="002912AC"/>
    <w:rsid w:val="00293D68"/>
    <w:rsid w:val="00294B2A"/>
    <w:rsid w:val="002967AB"/>
    <w:rsid w:val="00296BAA"/>
    <w:rsid w:val="00297339"/>
    <w:rsid w:val="002A013D"/>
    <w:rsid w:val="002A0309"/>
    <w:rsid w:val="002A0ECC"/>
    <w:rsid w:val="002A4D67"/>
    <w:rsid w:val="002A580B"/>
    <w:rsid w:val="002A7B69"/>
    <w:rsid w:val="002B0098"/>
    <w:rsid w:val="002B155D"/>
    <w:rsid w:val="002B19EC"/>
    <w:rsid w:val="002B32F2"/>
    <w:rsid w:val="002B340D"/>
    <w:rsid w:val="002B3544"/>
    <w:rsid w:val="002B35E5"/>
    <w:rsid w:val="002B4E96"/>
    <w:rsid w:val="002B50F7"/>
    <w:rsid w:val="002C0134"/>
    <w:rsid w:val="002C068E"/>
    <w:rsid w:val="002C1085"/>
    <w:rsid w:val="002C130F"/>
    <w:rsid w:val="002C281C"/>
    <w:rsid w:val="002C2C5E"/>
    <w:rsid w:val="002C318A"/>
    <w:rsid w:val="002C37CE"/>
    <w:rsid w:val="002C4D37"/>
    <w:rsid w:val="002C6FFE"/>
    <w:rsid w:val="002C72B7"/>
    <w:rsid w:val="002C7330"/>
    <w:rsid w:val="002C7836"/>
    <w:rsid w:val="002C7D85"/>
    <w:rsid w:val="002D0071"/>
    <w:rsid w:val="002D16AF"/>
    <w:rsid w:val="002D2135"/>
    <w:rsid w:val="002D2F1B"/>
    <w:rsid w:val="002D4B3A"/>
    <w:rsid w:val="002D4CF3"/>
    <w:rsid w:val="002D6221"/>
    <w:rsid w:val="002D6E5E"/>
    <w:rsid w:val="002D7107"/>
    <w:rsid w:val="002D7953"/>
    <w:rsid w:val="002E0191"/>
    <w:rsid w:val="002E1017"/>
    <w:rsid w:val="002E1880"/>
    <w:rsid w:val="002E1F77"/>
    <w:rsid w:val="002E290F"/>
    <w:rsid w:val="002E3274"/>
    <w:rsid w:val="002E3DB1"/>
    <w:rsid w:val="002E7483"/>
    <w:rsid w:val="002F06D0"/>
    <w:rsid w:val="002F0855"/>
    <w:rsid w:val="002F1926"/>
    <w:rsid w:val="002F1AE0"/>
    <w:rsid w:val="002F3C35"/>
    <w:rsid w:val="002F4667"/>
    <w:rsid w:val="002F47C3"/>
    <w:rsid w:val="002F4C0E"/>
    <w:rsid w:val="002F5291"/>
    <w:rsid w:val="002F5DE1"/>
    <w:rsid w:val="00301958"/>
    <w:rsid w:val="00301A6E"/>
    <w:rsid w:val="00302DA9"/>
    <w:rsid w:val="003031F2"/>
    <w:rsid w:val="0030344A"/>
    <w:rsid w:val="003042F7"/>
    <w:rsid w:val="00304730"/>
    <w:rsid w:val="00306018"/>
    <w:rsid w:val="00306D2A"/>
    <w:rsid w:val="0030703F"/>
    <w:rsid w:val="00310E4E"/>
    <w:rsid w:val="00312231"/>
    <w:rsid w:val="00313617"/>
    <w:rsid w:val="00313ADD"/>
    <w:rsid w:val="00313DB0"/>
    <w:rsid w:val="003140AB"/>
    <w:rsid w:val="00314D5B"/>
    <w:rsid w:val="00315525"/>
    <w:rsid w:val="003157D5"/>
    <w:rsid w:val="00320275"/>
    <w:rsid w:val="003208C8"/>
    <w:rsid w:val="003237AB"/>
    <w:rsid w:val="003239B2"/>
    <w:rsid w:val="00325551"/>
    <w:rsid w:val="00326881"/>
    <w:rsid w:val="00327CA1"/>
    <w:rsid w:val="00327FC6"/>
    <w:rsid w:val="00330433"/>
    <w:rsid w:val="0033051E"/>
    <w:rsid w:val="00330BF7"/>
    <w:rsid w:val="0033386E"/>
    <w:rsid w:val="00336440"/>
    <w:rsid w:val="0034047A"/>
    <w:rsid w:val="0034083A"/>
    <w:rsid w:val="00340A5A"/>
    <w:rsid w:val="00342DB6"/>
    <w:rsid w:val="0034352B"/>
    <w:rsid w:val="00344483"/>
    <w:rsid w:val="00344C5F"/>
    <w:rsid w:val="003454E5"/>
    <w:rsid w:val="00345D74"/>
    <w:rsid w:val="00346113"/>
    <w:rsid w:val="003466CA"/>
    <w:rsid w:val="00346B5F"/>
    <w:rsid w:val="00347396"/>
    <w:rsid w:val="00347B8C"/>
    <w:rsid w:val="00347D89"/>
    <w:rsid w:val="00351476"/>
    <w:rsid w:val="00351A2D"/>
    <w:rsid w:val="00351E19"/>
    <w:rsid w:val="00353040"/>
    <w:rsid w:val="00353CAB"/>
    <w:rsid w:val="00356EE4"/>
    <w:rsid w:val="00356FE7"/>
    <w:rsid w:val="00357419"/>
    <w:rsid w:val="00357CEA"/>
    <w:rsid w:val="0036070D"/>
    <w:rsid w:val="00360800"/>
    <w:rsid w:val="00360BA8"/>
    <w:rsid w:val="00360D4F"/>
    <w:rsid w:val="00361353"/>
    <w:rsid w:val="00362B92"/>
    <w:rsid w:val="00365C45"/>
    <w:rsid w:val="00365DF3"/>
    <w:rsid w:val="003660A1"/>
    <w:rsid w:val="00366ADB"/>
    <w:rsid w:val="00366F40"/>
    <w:rsid w:val="00370002"/>
    <w:rsid w:val="00370A9F"/>
    <w:rsid w:val="003716FD"/>
    <w:rsid w:val="00371955"/>
    <w:rsid w:val="00372741"/>
    <w:rsid w:val="00372D07"/>
    <w:rsid w:val="0037564A"/>
    <w:rsid w:val="00376345"/>
    <w:rsid w:val="00376664"/>
    <w:rsid w:val="0037694A"/>
    <w:rsid w:val="00380146"/>
    <w:rsid w:val="00380F65"/>
    <w:rsid w:val="00382CC0"/>
    <w:rsid w:val="0038672D"/>
    <w:rsid w:val="003870ED"/>
    <w:rsid w:val="0038741D"/>
    <w:rsid w:val="0039026F"/>
    <w:rsid w:val="003953D9"/>
    <w:rsid w:val="003A1260"/>
    <w:rsid w:val="003A13B1"/>
    <w:rsid w:val="003A14BA"/>
    <w:rsid w:val="003A179A"/>
    <w:rsid w:val="003A2B2D"/>
    <w:rsid w:val="003A32A3"/>
    <w:rsid w:val="003A3497"/>
    <w:rsid w:val="003A3D89"/>
    <w:rsid w:val="003A4743"/>
    <w:rsid w:val="003A4D1D"/>
    <w:rsid w:val="003A5DF0"/>
    <w:rsid w:val="003A7B90"/>
    <w:rsid w:val="003B0806"/>
    <w:rsid w:val="003B14EE"/>
    <w:rsid w:val="003B3708"/>
    <w:rsid w:val="003B37BB"/>
    <w:rsid w:val="003B3EF5"/>
    <w:rsid w:val="003B4352"/>
    <w:rsid w:val="003B4574"/>
    <w:rsid w:val="003B4F56"/>
    <w:rsid w:val="003B5A04"/>
    <w:rsid w:val="003B5E2C"/>
    <w:rsid w:val="003B6F83"/>
    <w:rsid w:val="003B788C"/>
    <w:rsid w:val="003C0BA7"/>
    <w:rsid w:val="003C100D"/>
    <w:rsid w:val="003C1508"/>
    <w:rsid w:val="003C17EF"/>
    <w:rsid w:val="003C1D4B"/>
    <w:rsid w:val="003C1D55"/>
    <w:rsid w:val="003C4894"/>
    <w:rsid w:val="003C66D5"/>
    <w:rsid w:val="003C7F6D"/>
    <w:rsid w:val="003D155C"/>
    <w:rsid w:val="003D1688"/>
    <w:rsid w:val="003D1923"/>
    <w:rsid w:val="003D297A"/>
    <w:rsid w:val="003D45CD"/>
    <w:rsid w:val="003D4E95"/>
    <w:rsid w:val="003D5B22"/>
    <w:rsid w:val="003E1974"/>
    <w:rsid w:val="003E2A8A"/>
    <w:rsid w:val="003E2C12"/>
    <w:rsid w:val="003E52E5"/>
    <w:rsid w:val="003E7D56"/>
    <w:rsid w:val="003F02F9"/>
    <w:rsid w:val="003F1FBC"/>
    <w:rsid w:val="003F274A"/>
    <w:rsid w:val="003F557E"/>
    <w:rsid w:val="0040031F"/>
    <w:rsid w:val="00400341"/>
    <w:rsid w:val="00400C9D"/>
    <w:rsid w:val="00402577"/>
    <w:rsid w:val="00403CA0"/>
    <w:rsid w:val="00405148"/>
    <w:rsid w:val="0040538E"/>
    <w:rsid w:val="004056B5"/>
    <w:rsid w:val="00406328"/>
    <w:rsid w:val="00406EC4"/>
    <w:rsid w:val="00411041"/>
    <w:rsid w:val="00411229"/>
    <w:rsid w:val="00411562"/>
    <w:rsid w:val="004115AD"/>
    <w:rsid w:val="00411914"/>
    <w:rsid w:val="00412A4A"/>
    <w:rsid w:val="00413ADF"/>
    <w:rsid w:val="0041709F"/>
    <w:rsid w:val="0041733B"/>
    <w:rsid w:val="00417A75"/>
    <w:rsid w:val="00423D1C"/>
    <w:rsid w:val="00426724"/>
    <w:rsid w:val="00430783"/>
    <w:rsid w:val="00430F2E"/>
    <w:rsid w:val="00431BEC"/>
    <w:rsid w:val="00431D1D"/>
    <w:rsid w:val="004327F3"/>
    <w:rsid w:val="00434381"/>
    <w:rsid w:val="004346AB"/>
    <w:rsid w:val="00435AFF"/>
    <w:rsid w:val="00437334"/>
    <w:rsid w:val="004379AE"/>
    <w:rsid w:val="00440C14"/>
    <w:rsid w:val="004411B2"/>
    <w:rsid w:val="0044179A"/>
    <w:rsid w:val="00442332"/>
    <w:rsid w:val="00442E25"/>
    <w:rsid w:val="00442FDB"/>
    <w:rsid w:val="004436A7"/>
    <w:rsid w:val="00443EC6"/>
    <w:rsid w:val="00444860"/>
    <w:rsid w:val="0044534E"/>
    <w:rsid w:val="0044647F"/>
    <w:rsid w:val="00447ACD"/>
    <w:rsid w:val="00447B86"/>
    <w:rsid w:val="00450235"/>
    <w:rsid w:val="004527CB"/>
    <w:rsid w:val="004531A4"/>
    <w:rsid w:val="00453621"/>
    <w:rsid w:val="00453833"/>
    <w:rsid w:val="00454E47"/>
    <w:rsid w:val="00457237"/>
    <w:rsid w:val="00457643"/>
    <w:rsid w:val="00457814"/>
    <w:rsid w:val="00457E40"/>
    <w:rsid w:val="00460AAE"/>
    <w:rsid w:val="0046162F"/>
    <w:rsid w:val="00461DDF"/>
    <w:rsid w:val="004622E9"/>
    <w:rsid w:val="004654D5"/>
    <w:rsid w:val="004655EE"/>
    <w:rsid w:val="004673E9"/>
    <w:rsid w:val="0046746F"/>
    <w:rsid w:val="0047003B"/>
    <w:rsid w:val="0047126E"/>
    <w:rsid w:val="004722D7"/>
    <w:rsid w:val="004728CD"/>
    <w:rsid w:val="00472B9C"/>
    <w:rsid w:val="0047424D"/>
    <w:rsid w:val="00474971"/>
    <w:rsid w:val="00474B38"/>
    <w:rsid w:val="004758CB"/>
    <w:rsid w:val="0047667C"/>
    <w:rsid w:val="00477637"/>
    <w:rsid w:val="004824F7"/>
    <w:rsid w:val="00482BEC"/>
    <w:rsid w:val="00482D68"/>
    <w:rsid w:val="00482D89"/>
    <w:rsid w:val="0048330C"/>
    <w:rsid w:val="004834C5"/>
    <w:rsid w:val="00484194"/>
    <w:rsid w:val="004841B6"/>
    <w:rsid w:val="00484CCD"/>
    <w:rsid w:val="00484F22"/>
    <w:rsid w:val="00485F2D"/>
    <w:rsid w:val="0048758A"/>
    <w:rsid w:val="00490672"/>
    <w:rsid w:val="00490CA4"/>
    <w:rsid w:val="004920A5"/>
    <w:rsid w:val="00492E61"/>
    <w:rsid w:val="004941E5"/>
    <w:rsid w:val="0049425A"/>
    <w:rsid w:val="0049453D"/>
    <w:rsid w:val="00494F68"/>
    <w:rsid w:val="00496176"/>
    <w:rsid w:val="00496A2C"/>
    <w:rsid w:val="004978A7"/>
    <w:rsid w:val="004A0079"/>
    <w:rsid w:val="004A093F"/>
    <w:rsid w:val="004A18A5"/>
    <w:rsid w:val="004A2475"/>
    <w:rsid w:val="004A290E"/>
    <w:rsid w:val="004A3410"/>
    <w:rsid w:val="004A347D"/>
    <w:rsid w:val="004A3609"/>
    <w:rsid w:val="004A413D"/>
    <w:rsid w:val="004A41EE"/>
    <w:rsid w:val="004A57D2"/>
    <w:rsid w:val="004A58B0"/>
    <w:rsid w:val="004A6EA0"/>
    <w:rsid w:val="004B0642"/>
    <w:rsid w:val="004B0717"/>
    <w:rsid w:val="004B0A39"/>
    <w:rsid w:val="004B1A7C"/>
    <w:rsid w:val="004B1C37"/>
    <w:rsid w:val="004B2CD0"/>
    <w:rsid w:val="004B3212"/>
    <w:rsid w:val="004B3CB3"/>
    <w:rsid w:val="004B42E4"/>
    <w:rsid w:val="004B4DB8"/>
    <w:rsid w:val="004B59C3"/>
    <w:rsid w:val="004B620A"/>
    <w:rsid w:val="004B6A1A"/>
    <w:rsid w:val="004C3BF2"/>
    <w:rsid w:val="004C4819"/>
    <w:rsid w:val="004C563B"/>
    <w:rsid w:val="004C6BE7"/>
    <w:rsid w:val="004C6D36"/>
    <w:rsid w:val="004C7C3B"/>
    <w:rsid w:val="004C7C3F"/>
    <w:rsid w:val="004D0EB8"/>
    <w:rsid w:val="004D1AE1"/>
    <w:rsid w:val="004D2630"/>
    <w:rsid w:val="004D3925"/>
    <w:rsid w:val="004D4891"/>
    <w:rsid w:val="004D6FEF"/>
    <w:rsid w:val="004E19CF"/>
    <w:rsid w:val="004E2A1E"/>
    <w:rsid w:val="004E3255"/>
    <w:rsid w:val="004E3AE1"/>
    <w:rsid w:val="004E4492"/>
    <w:rsid w:val="004E4B98"/>
    <w:rsid w:val="004E5786"/>
    <w:rsid w:val="004E622F"/>
    <w:rsid w:val="004E7620"/>
    <w:rsid w:val="004E79BE"/>
    <w:rsid w:val="004F1C89"/>
    <w:rsid w:val="004F2E74"/>
    <w:rsid w:val="004F39C7"/>
    <w:rsid w:val="004F3D21"/>
    <w:rsid w:val="004F4F66"/>
    <w:rsid w:val="004F5484"/>
    <w:rsid w:val="004F6109"/>
    <w:rsid w:val="004F6A73"/>
    <w:rsid w:val="004F7AE7"/>
    <w:rsid w:val="004F7C10"/>
    <w:rsid w:val="004F7C30"/>
    <w:rsid w:val="00501287"/>
    <w:rsid w:val="00501CBE"/>
    <w:rsid w:val="00501E1A"/>
    <w:rsid w:val="00502FDB"/>
    <w:rsid w:val="00503EDC"/>
    <w:rsid w:val="00504848"/>
    <w:rsid w:val="00505C9C"/>
    <w:rsid w:val="0050617D"/>
    <w:rsid w:val="00506753"/>
    <w:rsid w:val="00506982"/>
    <w:rsid w:val="00507054"/>
    <w:rsid w:val="005075B8"/>
    <w:rsid w:val="00507B63"/>
    <w:rsid w:val="00512272"/>
    <w:rsid w:val="005130EF"/>
    <w:rsid w:val="005133D1"/>
    <w:rsid w:val="00513602"/>
    <w:rsid w:val="00513B91"/>
    <w:rsid w:val="005163F3"/>
    <w:rsid w:val="00516DBA"/>
    <w:rsid w:val="00517769"/>
    <w:rsid w:val="00517A6B"/>
    <w:rsid w:val="0052003D"/>
    <w:rsid w:val="00521D7D"/>
    <w:rsid w:val="0052422E"/>
    <w:rsid w:val="00524259"/>
    <w:rsid w:val="00525A0C"/>
    <w:rsid w:val="00525EA9"/>
    <w:rsid w:val="00525FF0"/>
    <w:rsid w:val="00527B28"/>
    <w:rsid w:val="00527DB9"/>
    <w:rsid w:val="00527EDE"/>
    <w:rsid w:val="00531D55"/>
    <w:rsid w:val="005338A1"/>
    <w:rsid w:val="005348DD"/>
    <w:rsid w:val="00534B45"/>
    <w:rsid w:val="00537AB1"/>
    <w:rsid w:val="00537B4A"/>
    <w:rsid w:val="00540299"/>
    <w:rsid w:val="005411FC"/>
    <w:rsid w:val="0054122C"/>
    <w:rsid w:val="00541689"/>
    <w:rsid w:val="00541D37"/>
    <w:rsid w:val="00542100"/>
    <w:rsid w:val="0054214E"/>
    <w:rsid w:val="00542750"/>
    <w:rsid w:val="0054358B"/>
    <w:rsid w:val="00543734"/>
    <w:rsid w:val="005440FA"/>
    <w:rsid w:val="005462F5"/>
    <w:rsid w:val="00546C1D"/>
    <w:rsid w:val="005474D6"/>
    <w:rsid w:val="00547B12"/>
    <w:rsid w:val="00551559"/>
    <w:rsid w:val="00551E92"/>
    <w:rsid w:val="00552AEE"/>
    <w:rsid w:val="00553AAC"/>
    <w:rsid w:val="005542BE"/>
    <w:rsid w:val="00554682"/>
    <w:rsid w:val="00555700"/>
    <w:rsid w:val="00555D9E"/>
    <w:rsid w:val="00556893"/>
    <w:rsid w:val="00557AEB"/>
    <w:rsid w:val="00560341"/>
    <w:rsid w:val="00560F7F"/>
    <w:rsid w:val="00561425"/>
    <w:rsid w:val="00561CFF"/>
    <w:rsid w:val="005620D8"/>
    <w:rsid w:val="00562494"/>
    <w:rsid w:val="0056321F"/>
    <w:rsid w:val="00564449"/>
    <w:rsid w:val="00564C5E"/>
    <w:rsid w:val="00564ECA"/>
    <w:rsid w:val="005668AA"/>
    <w:rsid w:val="00567C8F"/>
    <w:rsid w:val="005710E2"/>
    <w:rsid w:val="005743C3"/>
    <w:rsid w:val="005745FC"/>
    <w:rsid w:val="005758B7"/>
    <w:rsid w:val="00577672"/>
    <w:rsid w:val="00580E8D"/>
    <w:rsid w:val="00583BD9"/>
    <w:rsid w:val="00583C7C"/>
    <w:rsid w:val="00583F1B"/>
    <w:rsid w:val="00584300"/>
    <w:rsid w:val="00585529"/>
    <w:rsid w:val="0058593D"/>
    <w:rsid w:val="00585B36"/>
    <w:rsid w:val="00590003"/>
    <w:rsid w:val="005911C3"/>
    <w:rsid w:val="00591468"/>
    <w:rsid w:val="0059180B"/>
    <w:rsid w:val="0059271B"/>
    <w:rsid w:val="00592A9B"/>
    <w:rsid w:val="00592FE2"/>
    <w:rsid w:val="00593033"/>
    <w:rsid w:val="00593222"/>
    <w:rsid w:val="005952B7"/>
    <w:rsid w:val="005962B0"/>
    <w:rsid w:val="00597103"/>
    <w:rsid w:val="005974E8"/>
    <w:rsid w:val="005A109D"/>
    <w:rsid w:val="005A19A8"/>
    <w:rsid w:val="005A1DFD"/>
    <w:rsid w:val="005A235D"/>
    <w:rsid w:val="005A2A81"/>
    <w:rsid w:val="005A3979"/>
    <w:rsid w:val="005A3B40"/>
    <w:rsid w:val="005A3B71"/>
    <w:rsid w:val="005A3C4A"/>
    <w:rsid w:val="005A6DF0"/>
    <w:rsid w:val="005A6FE8"/>
    <w:rsid w:val="005A79C1"/>
    <w:rsid w:val="005B1A1F"/>
    <w:rsid w:val="005B21C1"/>
    <w:rsid w:val="005B463B"/>
    <w:rsid w:val="005B5C55"/>
    <w:rsid w:val="005B5DFB"/>
    <w:rsid w:val="005B6150"/>
    <w:rsid w:val="005B64FA"/>
    <w:rsid w:val="005B6B0D"/>
    <w:rsid w:val="005C2E69"/>
    <w:rsid w:val="005C46A3"/>
    <w:rsid w:val="005C48B6"/>
    <w:rsid w:val="005C4E3F"/>
    <w:rsid w:val="005C6231"/>
    <w:rsid w:val="005C631C"/>
    <w:rsid w:val="005C64CD"/>
    <w:rsid w:val="005C6A45"/>
    <w:rsid w:val="005C75F5"/>
    <w:rsid w:val="005D0400"/>
    <w:rsid w:val="005D247F"/>
    <w:rsid w:val="005D3688"/>
    <w:rsid w:val="005D412E"/>
    <w:rsid w:val="005D43B9"/>
    <w:rsid w:val="005D504B"/>
    <w:rsid w:val="005D59A4"/>
    <w:rsid w:val="005D6930"/>
    <w:rsid w:val="005D6DB3"/>
    <w:rsid w:val="005D7D34"/>
    <w:rsid w:val="005E4D3D"/>
    <w:rsid w:val="005E4D50"/>
    <w:rsid w:val="005E5986"/>
    <w:rsid w:val="005E77CE"/>
    <w:rsid w:val="005E7EF2"/>
    <w:rsid w:val="005F0333"/>
    <w:rsid w:val="005F243A"/>
    <w:rsid w:val="005F277D"/>
    <w:rsid w:val="005F59E9"/>
    <w:rsid w:val="005F610A"/>
    <w:rsid w:val="005F6AEF"/>
    <w:rsid w:val="00600C16"/>
    <w:rsid w:val="0060103A"/>
    <w:rsid w:val="0060104E"/>
    <w:rsid w:val="00601995"/>
    <w:rsid w:val="00602090"/>
    <w:rsid w:val="006061FE"/>
    <w:rsid w:val="00606B4B"/>
    <w:rsid w:val="00607BBE"/>
    <w:rsid w:val="00611AC8"/>
    <w:rsid w:val="006143E3"/>
    <w:rsid w:val="0061476B"/>
    <w:rsid w:val="00615000"/>
    <w:rsid w:val="00615A2E"/>
    <w:rsid w:val="00616AD3"/>
    <w:rsid w:val="006170B3"/>
    <w:rsid w:val="0062064B"/>
    <w:rsid w:val="00620B24"/>
    <w:rsid w:val="0062208D"/>
    <w:rsid w:val="00622308"/>
    <w:rsid w:val="006242E0"/>
    <w:rsid w:val="00626C5B"/>
    <w:rsid w:val="0062755E"/>
    <w:rsid w:val="00627A6B"/>
    <w:rsid w:val="00627AFA"/>
    <w:rsid w:val="00627BB2"/>
    <w:rsid w:val="00630032"/>
    <w:rsid w:val="006302AA"/>
    <w:rsid w:val="0063121D"/>
    <w:rsid w:val="006328BD"/>
    <w:rsid w:val="00634641"/>
    <w:rsid w:val="00634DD3"/>
    <w:rsid w:val="0063518D"/>
    <w:rsid w:val="006368D8"/>
    <w:rsid w:val="00636F0F"/>
    <w:rsid w:val="00636F87"/>
    <w:rsid w:val="00637CC8"/>
    <w:rsid w:val="00640447"/>
    <w:rsid w:val="00641D44"/>
    <w:rsid w:val="0064219D"/>
    <w:rsid w:val="006422D9"/>
    <w:rsid w:val="00642D75"/>
    <w:rsid w:val="00645CA4"/>
    <w:rsid w:val="006463BA"/>
    <w:rsid w:val="0064697B"/>
    <w:rsid w:val="00646D28"/>
    <w:rsid w:val="00647138"/>
    <w:rsid w:val="006513F5"/>
    <w:rsid w:val="00652BBB"/>
    <w:rsid w:val="0065372A"/>
    <w:rsid w:val="006539E6"/>
    <w:rsid w:val="0065632F"/>
    <w:rsid w:val="00656E66"/>
    <w:rsid w:val="00662B97"/>
    <w:rsid w:val="00662F68"/>
    <w:rsid w:val="006631A8"/>
    <w:rsid w:val="006635DA"/>
    <w:rsid w:val="00663A4E"/>
    <w:rsid w:val="00664A40"/>
    <w:rsid w:val="00664BB7"/>
    <w:rsid w:val="0066540C"/>
    <w:rsid w:val="00666398"/>
    <w:rsid w:val="006664B3"/>
    <w:rsid w:val="006665A3"/>
    <w:rsid w:val="006671AD"/>
    <w:rsid w:val="00667F3D"/>
    <w:rsid w:val="0067015B"/>
    <w:rsid w:val="00670450"/>
    <w:rsid w:val="00670A06"/>
    <w:rsid w:val="00671ABA"/>
    <w:rsid w:val="00671F36"/>
    <w:rsid w:val="006720F6"/>
    <w:rsid w:val="00673ED3"/>
    <w:rsid w:val="006756F5"/>
    <w:rsid w:val="0067660B"/>
    <w:rsid w:val="00676E7A"/>
    <w:rsid w:val="0067713D"/>
    <w:rsid w:val="00681618"/>
    <w:rsid w:val="00682276"/>
    <w:rsid w:val="0068251A"/>
    <w:rsid w:val="00683394"/>
    <w:rsid w:val="00683E0B"/>
    <w:rsid w:val="00683F94"/>
    <w:rsid w:val="0068416E"/>
    <w:rsid w:val="00684579"/>
    <w:rsid w:val="0068555F"/>
    <w:rsid w:val="00685F0F"/>
    <w:rsid w:val="006866AB"/>
    <w:rsid w:val="006877A8"/>
    <w:rsid w:val="00687810"/>
    <w:rsid w:val="00690039"/>
    <w:rsid w:val="00691499"/>
    <w:rsid w:val="00691CC3"/>
    <w:rsid w:val="00691EFB"/>
    <w:rsid w:val="00692738"/>
    <w:rsid w:val="00692783"/>
    <w:rsid w:val="0069413D"/>
    <w:rsid w:val="00694D8E"/>
    <w:rsid w:val="0069540B"/>
    <w:rsid w:val="006978AD"/>
    <w:rsid w:val="006A1607"/>
    <w:rsid w:val="006A1734"/>
    <w:rsid w:val="006A26B5"/>
    <w:rsid w:val="006A2F87"/>
    <w:rsid w:val="006A47B1"/>
    <w:rsid w:val="006A56B2"/>
    <w:rsid w:val="006A6318"/>
    <w:rsid w:val="006A78B7"/>
    <w:rsid w:val="006A7BE2"/>
    <w:rsid w:val="006B08D4"/>
    <w:rsid w:val="006B1DAB"/>
    <w:rsid w:val="006B371E"/>
    <w:rsid w:val="006B46D2"/>
    <w:rsid w:val="006B5401"/>
    <w:rsid w:val="006B57C3"/>
    <w:rsid w:val="006B6B77"/>
    <w:rsid w:val="006B6ED6"/>
    <w:rsid w:val="006C0C06"/>
    <w:rsid w:val="006C0D2E"/>
    <w:rsid w:val="006C17DE"/>
    <w:rsid w:val="006C1962"/>
    <w:rsid w:val="006C227B"/>
    <w:rsid w:val="006C2650"/>
    <w:rsid w:val="006C319E"/>
    <w:rsid w:val="006C3C9D"/>
    <w:rsid w:val="006C47DE"/>
    <w:rsid w:val="006C5063"/>
    <w:rsid w:val="006C54AE"/>
    <w:rsid w:val="006C62BE"/>
    <w:rsid w:val="006C6B9B"/>
    <w:rsid w:val="006C7BB9"/>
    <w:rsid w:val="006D0F4D"/>
    <w:rsid w:val="006D18DF"/>
    <w:rsid w:val="006D2682"/>
    <w:rsid w:val="006D3817"/>
    <w:rsid w:val="006D3960"/>
    <w:rsid w:val="006D46FE"/>
    <w:rsid w:val="006D647A"/>
    <w:rsid w:val="006D7A43"/>
    <w:rsid w:val="006D7C41"/>
    <w:rsid w:val="006E0360"/>
    <w:rsid w:val="006E0738"/>
    <w:rsid w:val="006E0B4E"/>
    <w:rsid w:val="006E1783"/>
    <w:rsid w:val="006E17C9"/>
    <w:rsid w:val="006E1A7A"/>
    <w:rsid w:val="006E1FF8"/>
    <w:rsid w:val="006E3347"/>
    <w:rsid w:val="006E4197"/>
    <w:rsid w:val="006E5145"/>
    <w:rsid w:val="006E52DE"/>
    <w:rsid w:val="006E5941"/>
    <w:rsid w:val="006E630F"/>
    <w:rsid w:val="006F0AAF"/>
    <w:rsid w:val="006F2A9A"/>
    <w:rsid w:val="006F3335"/>
    <w:rsid w:val="006F33BC"/>
    <w:rsid w:val="006F3D99"/>
    <w:rsid w:val="006F5769"/>
    <w:rsid w:val="006F66B3"/>
    <w:rsid w:val="006F6FC5"/>
    <w:rsid w:val="00700BCA"/>
    <w:rsid w:val="00703374"/>
    <w:rsid w:val="007048C2"/>
    <w:rsid w:val="007056E4"/>
    <w:rsid w:val="00706E66"/>
    <w:rsid w:val="007100E9"/>
    <w:rsid w:val="007119B5"/>
    <w:rsid w:val="0071243F"/>
    <w:rsid w:val="00713321"/>
    <w:rsid w:val="00713CD3"/>
    <w:rsid w:val="007145F7"/>
    <w:rsid w:val="00714BDF"/>
    <w:rsid w:val="00714E81"/>
    <w:rsid w:val="00715FD7"/>
    <w:rsid w:val="0071639E"/>
    <w:rsid w:val="00716E60"/>
    <w:rsid w:val="00717FF8"/>
    <w:rsid w:val="0072081A"/>
    <w:rsid w:val="00720A92"/>
    <w:rsid w:val="00722546"/>
    <w:rsid w:val="00722737"/>
    <w:rsid w:val="00723520"/>
    <w:rsid w:val="00724B1D"/>
    <w:rsid w:val="00725C51"/>
    <w:rsid w:val="007274ED"/>
    <w:rsid w:val="00727B16"/>
    <w:rsid w:val="00731C0C"/>
    <w:rsid w:val="007325AC"/>
    <w:rsid w:val="00732B55"/>
    <w:rsid w:val="007339F8"/>
    <w:rsid w:val="0073442E"/>
    <w:rsid w:val="00734A36"/>
    <w:rsid w:val="00734D74"/>
    <w:rsid w:val="007351C1"/>
    <w:rsid w:val="0073648D"/>
    <w:rsid w:val="00736973"/>
    <w:rsid w:val="00737874"/>
    <w:rsid w:val="00740ECF"/>
    <w:rsid w:val="007421F9"/>
    <w:rsid w:val="0074298F"/>
    <w:rsid w:val="007429A3"/>
    <w:rsid w:val="0074565F"/>
    <w:rsid w:val="00746676"/>
    <w:rsid w:val="00746DAF"/>
    <w:rsid w:val="0075095E"/>
    <w:rsid w:val="007512A1"/>
    <w:rsid w:val="007522E8"/>
    <w:rsid w:val="00752E45"/>
    <w:rsid w:val="007542AE"/>
    <w:rsid w:val="00754652"/>
    <w:rsid w:val="00754765"/>
    <w:rsid w:val="00754BC5"/>
    <w:rsid w:val="00755D2A"/>
    <w:rsid w:val="007600BE"/>
    <w:rsid w:val="007605DB"/>
    <w:rsid w:val="00760CF3"/>
    <w:rsid w:val="007612D1"/>
    <w:rsid w:val="00761D3C"/>
    <w:rsid w:val="00763822"/>
    <w:rsid w:val="00763C0B"/>
    <w:rsid w:val="007644B5"/>
    <w:rsid w:val="00765128"/>
    <w:rsid w:val="007653BE"/>
    <w:rsid w:val="007654BB"/>
    <w:rsid w:val="0076636A"/>
    <w:rsid w:val="00770F4B"/>
    <w:rsid w:val="00770FAC"/>
    <w:rsid w:val="0077284E"/>
    <w:rsid w:val="00772D02"/>
    <w:rsid w:val="007744EF"/>
    <w:rsid w:val="00775054"/>
    <w:rsid w:val="007753B9"/>
    <w:rsid w:val="00775590"/>
    <w:rsid w:val="0077603C"/>
    <w:rsid w:val="00776770"/>
    <w:rsid w:val="00777C11"/>
    <w:rsid w:val="00783036"/>
    <w:rsid w:val="007836FB"/>
    <w:rsid w:val="0078748F"/>
    <w:rsid w:val="007904BA"/>
    <w:rsid w:val="00791781"/>
    <w:rsid w:val="0079178C"/>
    <w:rsid w:val="00791931"/>
    <w:rsid w:val="007928E1"/>
    <w:rsid w:val="007937BA"/>
    <w:rsid w:val="007948D5"/>
    <w:rsid w:val="00794D95"/>
    <w:rsid w:val="00795C74"/>
    <w:rsid w:val="0079752D"/>
    <w:rsid w:val="007977A8"/>
    <w:rsid w:val="007A1778"/>
    <w:rsid w:val="007A1D28"/>
    <w:rsid w:val="007A1EA7"/>
    <w:rsid w:val="007A50EE"/>
    <w:rsid w:val="007A5A50"/>
    <w:rsid w:val="007A5CE6"/>
    <w:rsid w:val="007A6435"/>
    <w:rsid w:val="007A7009"/>
    <w:rsid w:val="007A70AD"/>
    <w:rsid w:val="007A7F65"/>
    <w:rsid w:val="007B14C0"/>
    <w:rsid w:val="007B20A3"/>
    <w:rsid w:val="007B26F8"/>
    <w:rsid w:val="007B2979"/>
    <w:rsid w:val="007B3804"/>
    <w:rsid w:val="007B3E15"/>
    <w:rsid w:val="007B3F08"/>
    <w:rsid w:val="007B4117"/>
    <w:rsid w:val="007B4344"/>
    <w:rsid w:val="007B4ECF"/>
    <w:rsid w:val="007B4FDE"/>
    <w:rsid w:val="007B7B15"/>
    <w:rsid w:val="007C096D"/>
    <w:rsid w:val="007C0FC6"/>
    <w:rsid w:val="007C1877"/>
    <w:rsid w:val="007C2C6A"/>
    <w:rsid w:val="007C3484"/>
    <w:rsid w:val="007C40BB"/>
    <w:rsid w:val="007C5952"/>
    <w:rsid w:val="007C662C"/>
    <w:rsid w:val="007C6AAB"/>
    <w:rsid w:val="007C714E"/>
    <w:rsid w:val="007D054B"/>
    <w:rsid w:val="007D18DA"/>
    <w:rsid w:val="007D1E03"/>
    <w:rsid w:val="007D2A1B"/>
    <w:rsid w:val="007D3010"/>
    <w:rsid w:val="007D37D5"/>
    <w:rsid w:val="007D390A"/>
    <w:rsid w:val="007D3D83"/>
    <w:rsid w:val="007D4500"/>
    <w:rsid w:val="007D4F6B"/>
    <w:rsid w:val="007D7825"/>
    <w:rsid w:val="007E1330"/>
    <w:rsid w:val="007E230D"/>
    <w:rsid w:val="007E3C3A"/>
    <w:rsid w:val="007E3F33"/>
    <w:rsid w:val="007E4D75"/>
    <w:rsid w:val="007F0FDF"/>
    <w:rsid w:val="007F14E7"/>
    <w:rsid w:val="007F15C9"/>
    <w:rsid w:val="007F3588"/>
    <w:rsid w:val="007F554C"/>
    <w:rsid w:val="007F657E"/>
    <w:rsid w:val="008019EE"/>
    <w:rsid w:val="00801E52"/>
    <w:rsid w:val="00802237"/>
    <w:rsid w:val="00804072"/>
    <w:rsid w:val="008044E5"/>
    <w:rsid w:val="0080787D"/>
    <w:rsid w:val="00811359"/>
    <w:rsid w:val="008114BF"/>
    <w:rsid w:val="0081166C"/>
    <w:rsid w:val="00812D13"/>
    <w:rsid w:val="00812F9E"/>
    <w:rsid w:val="00814519"/>
    <w:rsid w:val="00815E42"/>
    <w:rsid w:val="0081660F"/>
    <w:rsid w:val="008173B9"/>
    <w:rsid w:val="0082008F"/>
    <w:rsid w:val="00822489"/>
    <w:rsid w:val="0082799C"/>
    <w:rsid w:val="008317C7"/>
    <w:rsid w:val="00831DCE"/>
    <w:rsid w:val="008325F3"/>
    <w:rsid w:val="00832F3C"/>
    <w:rsid w:val="008338D5"/>
    <w:rsid w:val="00834378"/>
    <w:rsid w:val="008365B2"/>
    <w:rsid w:val="008378EA"/>
    <w:rsid w:val="008400CD"/>
    <w:rsid w:val="008412DD"/>
    <w:rsid w:val="00842093"/>
    <w:rsid w:val="00842C1F"/>
    <w:rsid w:val="00842DFC"/>
    <w:rsid w:val="00845CEE"/>
    <w:rsid w:val="0085178F"/>
    <w:rsid w:val="008517F8"/>
    <w:rsid w:val="00851AA6"/>
    <w:rsid w:val="00852A81"/>
    <w:rsid w:val="008534AD"/>
    <w:rsid w:val="008560C7"/>
    <w:rsid w:val="00860B5D"/>
    <w:rsid w:val="00860FE1"/>
    <w:rsid w:val="00861597"/>
    <w:rsid w:val="00861667"/>
    <w:rsid w:val="008621E3"/>
    <w:rsid w:val="00862B71"/>
    <w:rsid w:val="00862E6B"/>
    <w:rsid w:val="008634AF"/>
    <w:rsid w:val="00863F74"/>
    <w:rsid w:val="00866500"/>
    <w:rsid w:val="008730D7"/>
    <w:rsid w:val="00873A2D"/>
    <w:rsid w:val="00875029"/>
    <w:rsid w:val="00877F5A"/>
    <w:rsid w:val="00880B90"/>
    <w:rsid w:val="00881799"/>
    <w:rsid w:val="00883004"/>
    <w:rsid w:val="008830BC"/>
    <w:rsid w:val="008834E5"/>
    <w:rsid w:val="00884B7C"/>
    <w:rsid w:val="00884E89"/>
    <w:rsid w:val="008869A2"/>
    <w:rsid w:val="00887093"/>
    <w:rsid w:val="00892084"/>
    <w:rsid w:val="00893123"/>
    <w:rsid w:val="00893748"/>
    <w:rsid w:val="0089413D"/>
    <w:rsid w:val="008958E4"/>
    <w:rsid w:val="00895BA8"/>
    <w:rsid w:val="008971F1"/>
    <w:rsid w:val="008977F3"/>
    <w:rsid w:val="00897F6D"/>
    <w:rsid w:val="008A03B3"/>
    <w:rsid w:val="008A125D"/>
    <w:rsid w:val="008A3872"/>
    <w:rsid w:val="008A39D4"/>
    <w:rsid w:val="008A40EB"/>
    <w:rsid w:val="008A45C2"/>
    <w:rsid w:val="008A4967"/>
    <w:rsid w:val="008A62F4"/>
    <w:rsid w:val="008A71D5"/>
    <w:rsid w:val="008A71DD"/>
    <w:rsid w:val="008A7630"/>
    <w:rsid w:val="008A76A1"/>
    <w:rsid w:val="008B0383"/>
    <w:rsid w:val="008B04B9"/>
    <w:rsid w:val="008B0FCC"/>
    <w:rsid w:val="008B1A8E"/>
    <w:rsid w:val="008B300E"/>
    <w:rsid w:val="008B6D93"/>
    <w:rsid w:val="008B6F0F"/>
    <w:rsid w:val="008B780D"/>
    <w:rsid w:val="008B7A93"/>
    <w:rsid w:val="008C0C2C"/>
    <w:rsid w:val="008C2C79"/>
    <w:rsid w:val="008C494E"/>
    <w:rsid w:val="008C526E"/>
    <w:rsid w:val="008C71E7"/>
    <w:rsid w:val="008C7774"/>
    <w:rsid w:val="008C78F6"/>
    <w:rsid w:val="008D03DB"/>
    <w:rsid w:val="008D138A"/>
    <w:rsid w:val="008D17FD"/>
    <w:rsid w:val="008D1E96"/>
    <w:rsid w:val="008D25D1"/>
    <w:rsid w:val="008D3076"/>
    <w:rsid w:val="008D4126"/>
    <w:rsid w:val="008D5400"/>
    <w:rsid w:val="008D5B41"/>
    <w:rsid w:val="008D64F6"/>
    <w:rsid w:val="008E0961"/>
    <w:rsid w:val="008E13A6"/>
    <w:rsid w:val="008E1E16"/>
    <w:rsid w:val="008E352C"/>
    <w:rsid w:val="008E4858"/>
    <w:rsid w:val="008E5011"/>
    <w:rsid w:val="008E530C"/>
    <w:rsid w:val="008E6026"/>
    <w:rsid w:val="008E6138"/>
    <w:rsid w:val="008E64AA"/>
    <w:rsid w:val="008E6CA4"/>
    <w:rsid w:val="008E6D49"/>
    <w:rsid w:val="008E6DAE"/>
    <w:rsid w:val="008F06C4"/>
    <w:rsid w:val="008F0E83"/>
    <w:rsid w:val="008F12B5"/>
    <w:rsid w:val="008F34A1"/>
    <w:rsid w:val="008F5E3D"/>
    <w:rsid w:val="008F6920"/>
    <w:rsid w:val="008F6D17"/>
    <w:rsid w:val="008F71EF"/>
    <w:rsid w:val="008F7ADD"/>
    <w:rsid w:val="00900897"/>
    <w:rsid w:val="009014A4"/>
    <w:rsid w:val="00901EF7"/>
    <w:rsid w:val="00902BD1"/>
    <w:rsid w:val="00903875"/>
    <w:rsid w:val="0090560C"/>
    <w:rsid w:val="00906FF2"/>
    <w:rsid w:val="00907CC0"/>
    <w:rsid w:val="00910B2D"/>
    <w:rsid w:val="009115E2"/>
    <w:rsid w:val="0091164F"/>
    <w:rsid w:val="00915196"/>
    <w:rsid w:val="00915FCE"/>
    <w:rsid w:val="0091754A"/>
    <w:rsid w:val="00920085"/>
    <w:rsid w:val="0092042D"/>
    <w:rsid w:val="009220BC"/>
    <w:rsid w:val="0092345C"/>
    <w:rsid w:val="009241C9"/>
    <w:rsid w:val="00924ECE"/>
    <w:rsid w:val="0092517C"/>
    <w:rsid w:val="0092630E"/>
    <w:rsid w:val="009271D6"/>
    <w:rsid w:val="0093062A"/>
    <w:rsid w:val="009306CC"/>
    <w:rsid w:val="00931A5E"/>
    <w:rsid w:val="009322FA"/>
    <w:rsid w:val="00932651"/>
    <w:rsid w:val="00932C1F"/>
    <w:rsid w:val="009337BD"/>
    <w:rsid w:val="00936632"/>
    <w:rsid w:val="0093770B"/>
    <w:rsid w:val="009377E7"/>
    <w:rsid w:val="00937C8B"/>
    <w:rsid w:val="00940249"/>
    <w:rsid w:val="009414AF"/>
    <w:rsid w:val="0094172A"/>
    <w:rsid w:val="009433B6"/>
    <w:rsid w:val="0094392D"/>
    <w:rsid w:val="00944943"/>
    <w:rsid w:val="0094531D"/>
    <w:rsid w:val="0094594D"/>
    <w:rsid w:val="0094606C"/>
    <w:rsid w:val="009467B6"/>
    <w:rsid w:val="00946879"/>
    <w:rsid w:val="009469DF"/>
    <w:rsid w:val="009470A9"/>
    <w:rsid w:val="00947E6F"/>
    <w:rsid w:val="009509FB"/>
    <w:rsid w:val="009525D2"/>
    <w:rsid w:val="00953336"/>
    <w:rsid w:val="00953D13"/>
    <w:rsid w:val="00953DA5"/>
    <w:rsid w:val="0095515B"/>
    <w:rsid w:val="00955FB9"/>
    <w:rsid w:val="0095646E"/>
    <w:rsid w:val="00956471"/>
    <w:rsid w:val="00956D67"/>
    <w:rsid w:val="009573AD"/>
    <w:rsid w:val="009574E5"/>
    <w:rsid w:val="00961C61"/>
    <w:rsid w:val="00962A22"/>
    <w:rsid w:val="00962AFD"/>
    <w:rsid w:val="00962EBE"/>
    <w:rsid w:val="00963F67"/>
    <w:rsid w:val="0096401A"/>
    <w:rsid w:val="00967AF8"/>
    <w:rsid w:val="00967CD9"/>
    <w:rsid w:val="009712B0"/>
    <w:rsid w:val="009715FC"/>
    <w:rsid w:val="00971A75"/>
    <w:rsid w:val="00971D2C"/>
    <w:rsid w:val="009728CF"/>
    <w:rsid w:val="00972E16"/>
    <w:rsid w:val="00972F23"/>
    <w:rsid w:val="009756E5"/>
    <w:rsid w:val="0097574F"/>
    <w:rsid w:val="00976E01"/>
    <w:rsid w:val="00977DEC"/>
    <w:rsid w:val="00980C6C"/>
    <w:rsid w:val="00981548"/>
    <w:rsid w:val="00982FB3"/>
    <w:rsid w:val="00984A24"/>
    <w:rsid w:val="00985207"/>
    <w:rsid w:val="00985280"/>
    <w:rsid w:val="00986FAE"/>
    <w:rsid w:val="00987136"/>
    <w:rsid w:val="00987D08"/>
    <w:rsid w:val="009906D3"/>
    <w:rsid w:val="00991257"/>
    <w:rsid w:val="00991517"/>
    <w:rsid w:val="009930CA"/>
    <w:rsid w:val="009935C3"/>
    <w:rsid w:val="00993C90"/>
    <w:rsid w:val="00994DCA"/>
    <w:rsid w:val="00995C47"/>
    <w:rsid w:val="00996534"/>
    <w:rsid w:val="0099666F"/>
    <w:rsid w:val="00997AC1"/>
    <w:rsid w:val="009A25AD"/>
    <w:rsid w:val="009A39FD"/>
    <w:rsid w:val="009A48EA"/>
    <w:rsid w:val="009A6B26"/>
    <w:rsid w:val="009A6B81"/>
    <w:rsid w:val="009A767E"/>
    <w:rsid w:val="009A77EC"/>
    <w:rsid w:val="009B1267"/>
    <w:rsid w:val="009B19CA"/>
    <w:rsid w:val="009B1BE3"/>
    <w:rsid w:val="009B21C3"/>
    <w:rsid w:val="009B32EB"/>
    <w:rsid w:val="009B3D67"/>
    <w:rsid w:val="009B423A"/>
    <w:rsid w:val="009B5055"/>
    <w:rsid w:val="009B7783"/>
    <w:rsid w:val="009B7C3F"/>
    <w:rsid w:val="009C20BA"/>
    <w:rsid w:val="009C252A"/>
    <w:rsid w:val="009C3FDD"/>
    <w:rsid w:val="009C403C"/>
    <w:rsid w:val="009C4548"/>
    <w:rsid w:val="009C48B1"/>
    <w:rsid w:val="009C579B"/>
    <w:rsid w:val="009C6B5B"/>
    <w:rsid w:val="009D3BF8"/>
    <w:rsid w:val="009D3CB0"/>
    <w:rsid w:val="009D5341"/>
    <w:rsid w:val="009D5B2F"/>
    <w:rsid w:val="009E0676"/>
    <w:rsid w:val="009E0B56"/>
    <w:rsid w:val="009E3709"/>
    <w:rsid w:val="009E371D"/>
    <w:rsid w:val="009E3E05"/>
    <w:rsid w:val="009E3E7E"/>
    <w:rsid w:val="009E42BD"/>
    <w:rsid w:val="009E472C"/>
    <w:rsid w:val="009E4735"/>
    <w:rsid w:val="009E5D28"/>
    <w:rsid w:val="009E75C5"/>
    <w:rsid w:val="009F01DB"/>
    <w:rsid w:val="009F1ED5"/>
    <w:rsid w:val="009F2084"/>
    <w:rsid w:val="009F287E"/>
    <w:rsid w:val="009F2A8C"/>
    <w:rsid w:val="009F5D23"/>
    <w:rsid w:val="009F7867"/>
    <w:rsid w:val="00A00278"/>
    <w:rsid w:val="00A00C61"/>
    <w:rsid w:val="00A03D85"/>
    <w:rsid w:val="00A03FC6"/>
    <w:rsid w:val="00A0419C"/>
    <w:rsid w:val="00A0647F"/>
    <w:rsid w:val="00A06CFF"/>
    <w:rsid w:val="00A10595"/>
    <w:rsid w:val="00A10F2E"/>
    <w:rsid w:val="00A1165F"/>
    <w:rsid w:val="00A116C1"/>
    <w:rsid w:val="00A116D0"/>
    <w:rsid w:val="00A12BD0"/>
    <w:rsid w:val="00A20278"/>
    <w:rsid w:val="00A20D6D"/>
    <w:rsid w:val="00A20FCC"/>
    <w:rsid w:val="00A21452"/>
    <w:rsid w:val="00A21989"/>
    <w:rsid w:val="00A21CD0"/>
    <w:rsid w:val="00A2316C"/>
    <w:rsid w:val="00A24DCA"/>
    <w:rsid w:val="00A24FD8"/>
    <w:rsid w:val="00A26927"/>
    <w:rsid w:val="00A26BFA"/>
    <w:rsid w:val="00A2760D"/>
    <w:rsid w:val="00A30031"/>
    <w:rsid w:val="00A305E8"/>
    <w:rsid w:val="00A31374"/>
    <w:rsid w:val="00A3137C"/>
    <w:rsid w:val="00A31596"/>
    <w:rsid w:val="00A32705"/>
    <w:rsid w:val="00A329EB"/>
    <w:rsid w:val="00A343CA"/>
    <w:rsid w:val="00A35359"/>
    <w:rsid w:val="00A353CC"/>
    <w:rsid w:val="00A3677E"/>
    <w:rsid w:val="00A37A15"/>
    <w:rsid w:val="00A37D5A"/>
    <w:rsid w:val="00A40AE2"/>
    <w:rsid w:val="00A41B20"/>
    <w:rsid w:val="00A41DCA"/>
    <w:rsid w:val="00A43520"/>
    <w:rsid w:val="00A43553"/>
    <w:rsid w:val="00A446FA"/>
    <w:rsid w:val="00A455C4"/>
    <w:rsid w:val="00A45C2B"/>
    <w:rsid w:val="00A472A6"/>
    <w:rsid w:val="00A47A0B"/>
    <w:rsid w:val="00A47ACD"/>
    <w:rsid w:val="00A50BF5"/>
    <w:rsid w:val="00A50CE2"/>
    <w:rsid w:val="00A5175C"/>
    <w:rsid w:val="00A51B3C"/>
    <w:rsid w:val="00A53024"/>
    <w:rsid w:val="00A53046"/>
    <w:rsid w:val="00A533E9"/>
    <w:rsid w:val="00A5383F"/>
    <w:rsid w:val="00A53A0E"/>
    <w:rsid w:val="00A545FC"/>
    <w:rsid w:val="00A54D86"/>
    <w:rsid w:val="00A5521C"/>
    <w:rsid w:val="00A55249"/>
    <w:rsid w:val="00A55B22"/>
    <w:rsid w:val="00A57E2C"/>
    <w:rsid w:val="00A57E4A"/>
    <w:rsid w:val="00A60DC5"/>
    <w:rsid w:val="00A61852"/>
    <w:rsid w:val="00A63DE0"/>
    <w:rsid w:val="00A642EB"/>
    <w:rsid w:val="00A64CBF"/>
    <w:rsid w:val="00A65BA0"/>
    <w:rsid w:val="00A70371"/>
    <w:rsid w:val="00A718E1"/>
    <w:rsid w:val="00A719FF"/>
    <w:rsid w:val="00A71DB7"/>
    <w:rsid w:val="00A721E8"/>
    <w:rsid w:val="00A725DC"/>
    <w:rsid w:val="00A728EB"/>
    <w:rsid w:val="00A72C42"/>
    <w:rsid w:val="00A73980"/>
    <w:rsid w:val="00A753D3"/>
    <w:rsid w:val="00A75AC6"/>
    <w:rsid w:val="00A75E9C"/>
    <w:rsid w:val="00A75FBE"/>
    <w:rsid w:val="00A76446"/>
    <w:rsid w:val="00A76FF4"/>
    <w:rsid w:val="00A77DE6"/>
    <w:rsid w:val="00A80B07"/>
    <w:rsid w:val="00A82982"/>
    <w:rsid w:val="00A8307E"/>
    <w:rsid w:val="00A833B0"/>
    <w:rsid w:val="00A83CD3"/>
    <w:rsid w:val="00A83FBA"/>
    <w:rsid w:val="00A841FA"/>
    <w:rsid w:val="00A84C24"/>
    <w:rsid w:val="00A84E7A"/>
    <w:rsid w:val="00A86189"/>
    <w:rsid w:val="00A86404"/>
    <w:rsid w:val="00A87650"/>
    <w:rsid w:val="00A9070E"/>
    <w:rsid w:val="00A90883"/>
    <w:rsid w:val="00A90B3A"/>
    <w:rsid w:val="00A91167"/>
    <w:rsid w:val="00A916DC"/>
    <w:rsid w:val="00A929BB"/>
    <w:rsid w:val="00A932ED"/>
    <w:rsid w:val="00A96293"/>
    <w:rsid w:val="00A962EF"/>
    <w:rsid w:val="00A96EC4"/>
    <w:rsid w:val="00A971B4"/>
    <w:rsid w:val="00A97999"/>
    <w:rsid w:val="00AA22A5"/>
    <w:rsid w:val="00AA27A2"/>
    <w:rsid w:val="00AA447A"/>
    <w:rsid w:val="00AA47BF"/>
    <w:rsid w:val="00AA4A7F"/>
    <w:rsid w:val="00AA4DD9"/>
    <w:rsid w:val="00AA4F27"/>
    <w:rsid w:val="00AA5053"/>
    <w:rsid w:val="00AA5F1A"/>
    <w:rsid w:val="00AA62B6"/>
    <w:rsid w:val="00AA6865"/>
    <w:rsid w:val="00AA7AB5"/>
    <w:rsid w:val="00AA7E73"/>
    <w:rsid w:val="00AB1125"/>
    <w:rsid w:val="00AB1254"/>
    <w:rsid w:val="00AB14B2"/>
    <w:rsid w:val="00AB1AAA"/>
    <w:rsid w:val="00AB27AF"/>
    <w:rsid w:val="00AB3B36"/>
    <w:rsid w:val="00AB4245"/>
    <w:rsid w:val="00AB45A7"/>
    <w:rsid w:val="00AB537F"/>
    <w:rsid w:val="00AB5570"/>
    <w:rsid w:val="00AB7CFE"/>
    <w:rsid w:val="00AC1125"/>
    <w:rsid w:val="00AC21F7"/>
    <w:rsid w:val="00AC27C1"/>
    <w:rsid w:val="00AC2AA1"/>
    <w:rsid w:val="00AC3109"/>
    <w:rsid w:val="00AC4749"/>
    <w:rsid w:val="00AC4ABE"/>
    <w:rsid w:val="00AC6347"/>
    <w:rsid w:val="00AD1821"/>
    <w:rsid w:val="00AD1975"/>
    <w:rsid w:val="00AD3570"/>
    <w:rsid w:val="00AD3F04"/>
    <w:rsid w:val="00AD5D38"/>
    <w:rsid w:val="00AD6530"/>
    <w:rsid w:val="00AE0360"/>
    <w:rsid w:val="00AE1230"/>
    <w:rsid w:val="00AE13C3"/>
    <w:rsid w:val="00AE2CC5"/>
    <w:rsid w:val="00AE37F2"/>
    <w:rsid w:val="00AE4E55"/>
    <w:rsid w:val="00AE56E9"/>
    <w:rsid w:val="00AE7152"/>
    <w:rsid w:val="00AE7243"/>
    <w:rsid w:val="00AF03CF"/>
    <w:rsid w:val="00AF0885"/>
    <w:rsid w:val="00AF2315"/>
    <w:rsid w:val="00AF28DE"/>
    <w:rsid w:val="00AF2D6C"/>
    <w:rsid w:val="00AF4D6D"/>
    <w:rsid w:val="00AF60D0"/>
    <w:rsid w:val="00AF6A2C"/>
    <w:rsid w:val="00AF6EFA"/>
    <w:rsid w:val="00B00992"/>
    <w:rsid w:val="00B074B6"/>
    <w:rsid w:val="00B109DF"/>
    <w:rsid w:val="00B11069"/>
    <w:rsid w:val="00B112EE"/>
    <w:rsid w:val="00B136AF"/>
    <w:rsid w:val="00B14147"/>
    <w:rsid w:val="00B14856"/>
    <w:rsid w:val="00B15695"/>
    <w:rsid w:val="00B1573E"/>
    <w:rsid w:val="00B16EFA"/>
    <w:rsid w:val="00B20112"/>
    <w:rsid w:val="00B228BC"/>
    <w:rsid w:val="00B22A86"/>
    <w:rsid w:val="00B24977"/>
    <w:rsid w:val="00B2504A"/>
    <w:rsid w:val="00B259A4"/>
    <w:rsid w:val="00B25AEA"/>
    <w:rsid w:val="00B30222"/>
    <w:rsid w:val="00B3273D"/>
    <w:rsid w:val="00B32751"/>
    <w:rsid w:val="00B3305D"/>
    <w:rsid w:val="00B331F6"/>
    <w:rsid w:val="00B3393A"/>
    <w:rsid w:val="00B3470E"/>
    <w:rsid w:val="00B34B9F"/>
    <w:rsid w:val="00B34E8C"/>
    <w:rsid w:val="00B3521E"/>
    <w:rsid w:val="00B3536B"/>
    <w:rsid w:val="00B357BA"/>
    <w:rsid w:val="00B402A3"/>
    <w:rsid w:val="00B4172C"/>
    <w:rsid w:val="00B4217F"/>
    <w:rsid w:val="00B423B9"/>
    <w:rsid w:val="00B4272F"/>
    <w:rsid w:val="00B43D78"/>
    <w:rsid w:val="00B4644F"/>
    <w:rsid w:val="00B47596"/>
    <w:rsid w:val="00B47815"/>
    <w:rsid w:val="00B47C89"/>
    <w:rsid w:val="00B50204"/>
    <w:rsid w:val="00B5048C"/>
    <w:rsid w:val="00B50BE5"/>
    <w:rsid w:val="00B5195A"/>
    <w:rsid w:val="00B52A78"/>
    <w:rsid w:val="00B5325E"/>
    <w:rsid w:val="00B53AB1"/>
    <w:rsid w:val="00B53EB5"/>
    <w:rsid w:val="00B543A5"/>
    <w:rsid w:val="00B54A66"/>
    <w:rsid w:val="00B54B95"/>
    <w:rsid w:val="00B5572B"/>
    <w:rsid w:val="00B55A55"/>
    <w:rsid w:val="00B55FB6"/>
    <w:rsid w:val="00B60528"/>
    <w:rsid w:val="00B6221F"/>
    <w:rsid w:val="00B623FA"/>
    <w:rsid w:val="00B62D85"/>
    <w:rsid w:val="00B6313C"/>
    <w:rsid w:val="00B6356E"/>
    <w:rsid w:val="00B63EB8"/>
    <w:rsid w:val="00B63FDC"/>
    <w:rsid w:val="00B663BD"/>
    <w:rsid w:val="00B6650A"/>
    <w:rsid w:val="00B67CFA"/>
    <w:rsid w:val="00B708C8"/>
    <w:rsid w:val="00B70B3A"/>
    <w:rsid w:val="00B70BEF"/>
    <w:rsid w:val="00B71F1A"/>
    <w:rsid w:val="00B73416"/>
    <w:rsid w:val="00B74050"/>
    <w:rsid w:val="00B75006"/>
    <w:rsid w:val="00B75317"/>
    <w:rsid w:val="00B77ADB"/>
    <w:rsid w:val="00B80EFF"/>
    <w:rsid w:val="00B81723"/>
    <w:rsid w:val="00B81CEC"/>
    <w:rsid w:val="00B82E6C"/>
    <w:rsid w:val="00B84301"/>
    <w:rsid w:val="00B847E5"/>
    <w:rsid w:val="00B84A7F"/>
    <w:rsid w:val="00B855D0"/>
    <w:rsid w:val="00B86366"/>
    <w:rsid w:val="00B87BF2"/>
    <w:rsid w:val="00B908F0"/>
    <w:rsid w:val="00B90B82"/>
    <w:rsid w:val="00B91EE4"/>
    <w:rsid w:val="00B9245C"/>
    <w:rsid w:val="00B93404"/>
    <w:rsid w:val="00B94193"/>
    <w:rsid w:val="00B941C3"/>
    <w:rsid w:val="00B946A1"/>
    <w:rsid w:val="00B95422"/>
    <w:rsid w:val="00B96E4F"/>
    <w:rsid w:val="00BA37E4"/>
    <w:rsid w:val="00BA40A4"/>
    <w:rsid w:val="00BA4A3D"/>
    <w:rsid w:val="00BA52C5"/>
    <w:rsid w:val="00BA5CA5"/>
    <w:rsid w:val="00BA69B5"/>
    <w:rsid w:val="00BB0FD7"/>
    <w:rsid w:val="00BB10F4"/>
    <w:rsid w:val="00BB30AE"/>
    <w:rsid w:val="00BB37F6"/>
    <w:rsid w:val="00BB47C6"/>
    <w:rsid w:val="00BB6230"/>
    <w:rsid w:val="00BB6F07"/>
    <w:rsid w:val="00BC33F8"/>
    <w:rsid w:val="00BC3C4B"/>
    <w:rsid w:val="00BC48CD"/>
    <w:rsid w:val="00BC529B"/>
    <w:rsid w:val="00BC54B3"/>
    <w:rsid w:val="00BC5A1D"/>
    <w:rsid w:val="00BC6061"/>
    <w:rsid w:val="00BC712A"/>
    <w:rsid w:val="00BC77E7"/>
    <w:rsid w:val="00BD0F33"/>
    <w:rsid w:val="00BD2778"/>
    <w:rsid w:val="00BD3164"/>
    <w:rsid w:val="00BD3933"/>
    <w:rsid w:val="00BD438D"/>
    <w:rsid w:val="00BD4655"/>
    <w:rsid w:val="00BD4EE7"/>
    <w:rsid w:val="00BD59B6"/>
    <w:rsid w:val="00BD654A"/>
    <w:rsid w:val="00BD6A93"/>
    <w:rsid w:val="00BE16C0"/>
    <w:rsid w:val="00BE1F0C"/>
    <w:rsid w:val="00BE3BC0"/>
    <w:rsid w:val="00BE3EC2"/>
    <w:rsid w:val="00BE46CA"/>
    <w:rsid w:val="00BE5A90"/>
    <w:rsid w:val="00BE61F6"/>
    <w:rsid w:val="00BE6BB5"/>
    <w:rsid w:val="00BF13EE"/>
    <w:rsid w:val="00BF1E29"/>
    <w:rsid w:val="00BF4954"/>
    <w:rsid w:val="00BF4A70"/>
    <w:rsid w:val="00BF4F28"/>
    <w:rsid w:val="00BF66C2"/>
    <w:rsid w:val="00BF7757"/>
    <w:rsid w:val="00BF7D96"/>
    <w:rsid w:val="00C000CC"/>
    <w:rsid w:val="00C004F4"/>
    <w:rsid w:val="00C0100C"/>
    <w:rsid w:val="00C02421"/>
    <w:rsid w:val="00C024D1"/>
    <w:rsid w:val="00C025DB"/>
    <w:rsid w:val="00C02D6E"/>
    <w:rsid w:val="00C02FF7"/>
    <w:rsid w:val="00C03005"/>
    <w:rsid w:val="00C03F95"/>
    <w:rsid w:val="00C04E3C"/>
    <w:rsid w:val="00C05D71"/>
    <w:rsid w:val="00C06453"/>
    <w:rsid w:val="00C06DA6"/>
    <w:rsid w:val="00C07271"/>
    <w:rsid w:val="00C0781A"/>
    <w:rsid w:val="00C07CAD"/>
    <w:rsid w:val="00C10194"/>
    <w:rsid w:val="00C1055C"/>
    <w:rsid w:val="00C10F9F"/>
    <w:rsid w:val="00C11D43"/>
    <w:rsid w:val="00C13BC9"/>
    <w:rsid w:val="00C13C16"/>
    <w:rsid w:val="00C15BB9"/>
    <w:rsid w:val="00C15F0A"/>
    <w:rsid w:val="00C15F1E"/>
    <w:rsid w:val="00C1611A"/>
    <w:rsid w:val="00C1616B"/>
    <w:rsid w:val="00C16E2A"/>
    <w:rsid w:val="00C17F3F"/>
    <w:rsid w:val="00C209C9"/>
    <w:rsid w:val="00C223F0"/>
    <w:rsid w:val="00C24EE4"/>
    <w:rsid w:val="00C2639E"/>
    <w:rsid w:val="00C3067C"/>
    <w:rsid w:val="00C30BA8"/>
    <w:rsid w:val="00C31791"/>
    <w:rsid w:val="00C32793"/>
    <w:rsid w:val="00C32A3F"/>
    <w:rsid w:val="00C3656C"/>
    <w:rsid w:val="00C40DA4"/>
    <w:rsid w:val="00C41242"/>
    <w:rsid w:val="00C413E0"/>
    <w:rsid w:val="00C41655"/>
    <w:rsid w:val="00C42B48"/>
    <w:rsid w:val="00C44F8C"/>
    <w:rsid w:val="00C45CCC"/>
    <w:rsid w:val="00C45FE2"/>
    <w:rsid w:val="00C46AD8"/>
    <w:rsid w:val="00C471FB"/>
    <w:rsid w:val="00C51643"/>
    <w:rsid w:val="00C55366"/>
    <w:rsid w:val="00C5599D"/>
    <w:rsid w:val="00C562B8"/>
    <w:rsid w:val="00C56B63"/>
    <w:rsid w:val="00C575C4"/>
    <w:rsid w:val="00C602A1"/>
    <w:rsid w:val="00C6104C"/>
    <w:rsid w:val="00C62A54"/>
    <w:rsid w:val="00C63672"/>
    <w:rsid w:val="00C637D0"/>
    <w:rsid w:val="00C63C2D"/>
    <w:rsid w:val="00C66FE6"/>
    <w:rsid w:val="00C67895"/>
    <w:rsid w:val="00C70D0F"/>
    <w:rsid w:val="00C70DAA"/>
    <w:rsid w:val="00C7252B"/>
    <w:rsid w:val="00C742A7"/>
    <w:rsid w:val="00C74E5F"/>
    <w:rsid w:val="00C7762E"/>
    <w:rsid w:val="00C80FB8"/>
    <w:rsid w:val="00C81372"/>
    <w:rsid w:val="00C82B75"/>
    <w:rsid w:val="00C836B8"/>
    <w:rsid w:val="00C84D8E"/>
    <w:rsid w:val="00C85A28"/>
    <w:rsid w:val="00C862D6"/>
    <w:rsid w:val="00C86AE7"/>
    <w:rsid w:val="00C86E36"/>
    <w:rsid w:val="00C879A5"/>
    <w:rsid w:val="00C909A2"/>
    <w:rsid w:val="00C9175C"/>
    <w:rsid w:val="00C9190F"/>
    <w:rsid w:val="00C934C5"/>
    <w:rsid w:val="00C960A6"/>
    <w:rsid w:val="00C97663"/>
    <w:rsid w:val="00C978D9"/>
    <w:rsid w:val="00CA2273"/>
    <w:rsid w:val="00CA2565"/>
    <w:rsid w:val="00CA2EF1"/>
    <w:rsid w:val="00CA4ECD"/>
    <w:rsid w:val="00CA513A"/>
    <w:rsid w:val="00CA550B"/>
    <w:rsid w:val="00CB14D5"/>
    <w:rsid w:val="00CB1F06"/>
    <w:rsid w:val="00CB4696"/>
    <w:rsid w:val="00CB4FB3"/>
    <w:rsid w:val="00CB52BE"/>
    <w:rsid w:val="00CB5A30"/>
    <w:rsid w:val="00CB7316"/>
    <w:rsid w:val="00CB755E"/>
    <w:rsid w:val="00CB7919"/>
    <w:rsid w:val="00CC2010"/>
    <w:rsid w:val="00CC2689"/>
    <w:rsid w:val="00CC2BD6"/>
    <w:rsid w:val="00CC2CA9"/>
    <w:rsid w:val="00CC3183"/>
    <w:rsid w:val="00CC3DF9"/>
    <w:rsid w:val="00CC5D26"/>
    <w:rsid w:val="00CC6281"/>
    <w:rsid w:val="00CC66E5"/>
    <w:rsid w:val="00CC750C"/>
    <w:rsid w:val="00CD1DD1"/>
    <w:rsid w:val="00CD254B"/>
    <w:rsid w:val="00CD2875"/>
    <w:rsid w:val="00CD3AFB"/>
    <w:rsid w:val="00CD407C"/>
    <w:rsid w:val="00CD62FB"/>
    <w:rsid w:val="00CD6DB5"/>
    <w:rsid w:val="00CE004D"/>
    <w:rsid w:val="00CE1013"/>
    <w:rsid w:val="00CE1E9B"/>
    <w:rsid w:val="00CE24EC"/>
    <w:rsid w:val="00CE338E"/>
    <w:rsid w:val="00CE3B60"/>
    <w:rsid w:val="00CE3E9A"/>
    <w:rsid w:val="00CE603F"/>
    <w:rsid w:val="00CE77EE"/>
    <w:rsid w:val="00CF2DB5"/>
    <w:rsid w:val="00CF2F4E"/>
    <w:rsid w:val="00CF3787"/>
    <w:rsid w:val="00CF4477"/>
    <w:rsid w:val="00CF4835"/>
    <w:rsid w:val="00CF4B46"/>
    <w:rsid w:val="00CF566C"/>
    <w:rsid w:val="00CF6020"/>
    <w:rsid w:val="00CF7D54"/>
    <w:rsid w:val="00D002E1"/>
    <w:rsid w:val="00D012AC"/>
    <w:rsid w:val="00D03058"/>
    <w:rsid w:val="00D03250"/>
    <w:rsid w:val="00D037AE"/>
    <w:rsid w:val="00D04278"/>
    <w:rsid w:val="00D042B2"/>
    <w:rsid w:val="00D045F9"/>
    <w:rsid w:val="00D0578A"/>
    <w:rsid w:val="00D067A3"/>
    <w:rsid w:val="00D06A1F"/>
    <w:rsid w:val="00D0741D"/>
    <w:rsid w:val="00D075D7"/>
    <w:rsid w:val="00D110E3"/>
    <w:rsid w:val="00D117DB"/>
    <w:rsid w:val="00D12D61"/>
    <w:rsid w:val="00D140A5"/>
    <w:rsid w:val="00D16903"/>
    <w:rsid w:val="00D169C9"/>
    <w:rsid w:val="00D16EBB"/>
    <w:rsid w:val="00D176AA"/>
    <w:rsid w:val="00D1779A"/>
    <w:rsid w:val="00D219F6"/>
    <w:rsid w:val="00D21DA3"/>
    <w:rsid w:val="00D21E82"/>
    <w:rsid w:val="00D23E0B"/>
    <w:rsid w:val="00D24185"/>
    <w:rsid w:val="00D24529"/>
    <w:rsid w:val="00D24E7F"/>
    <w:rsid w:val="00D255D0"/>
    <w:rsid w:val="00D25A72"/>
    <w:rsid w:val="00D25BE9"/>
    <w:rsid w:val="00D26140"/>
    <w:rsid w:val="00D26EBE"/>
    <w:rsid w:val="00D27DCB"/>
    <w:rsid w:val="00D34C3E"/>
    <w:rsid w:val="00D364B3"/>
    <w:rsid w:val="00D41167"/>
    <w:rsid w:val="00D4118E"/>
    <w:rsid w:val="00D4138E"/>
    <w:rsid w:val="00D42114"/>
    <w:rsid w:val="00D42988"/>
    <w:rsid w:val="00D430D6"/>
    <w:rsid w:val="00D43741"/>
    <w:rsid w:val="00D43DC4"/>
    <w:rsid w:val="00D4468C"/>
    <w:rsid w:val="00D46EC6"/>
    <w:rsid w:val="00D46F91"/>
    <w:rsid w:val="00D47E42"/>
    <w:rsid w:val="00D503E5"/>
    <w:rsid w:val="00D51529"/>
    <w:rsid w:val="00D51967"/>
    <w:rsid w:val="00D545F5"/>
    <w:rsid w:val="00D564DA"/>
    <w:rsid w:val="00D5681F"/>
    <w:rsid w:val="00D56B33"/>
    <w:rsid w:val="00D57313"/>
    <w:rsid w:val="00D574C8"/>
    <w:rsid w:val="00D57CD9"/>
    <w:rsid w:val="00D57E10"/>
    <w:rsid w:val="00D61C95"/>
    <w:rsid w:val="00D62254"/>
    <w:rsid w:val="00D62FBF"/>
    <w:rsid w:val="00D63541"/>
    <w:rsid w:val="00D63875"/>
    <w:rsid w:val="00D677F7"/>
    <w:rsid w:val="00D70411"/>
    <w:rsid w:val="00D71E9B"/>
    <w:rsid w:val="00D72081"/>
    <w:rsid w:val="00D72A41"/>
    <w:rsid w:val="00D72C33"/>
    <w:rsid w:val="00D73B6E"/>
    <w:rsid w:val="00D74469"/>
    <w:rsid w:val="00D746ED"/>
    <w:rsid w:val="00D74B9B"/>
    <w:rsid w:val="00D75AD4"/>
    <w:rsid w:val="00D75C29"/>
    <w:rsid w:val="00D75DD2"/>
    <w:rsid w:val="00D75E41"/>
    <w:rsid w:val="00D80950"/>
    <w:rsid w:val="00D80B12"/>
    <w:rsid w:val="00D80B7F"/>
    <w:rsid w:val="00D80DF9"/>
    <w:rsid w:val="00D818ED"/>
    <w:rsid w:val="00D824ED"/>
    <w:rsid w:val="00D82DFE"/>
    <w:rsid w:val="00D834DD"/>
    <w:rsid w:val="00D8358D"/>
    <w:rsid w:val="00D835AD"/>
    <w:rsid w:val="00D83985"/>
    <w:rsid w:val="00D83F9F"/>
    <w:rsid w:val="00D86DA4"/>
    <w:rsid w:val="00D87EF4"/>
    <w:rsid w:val="00D87F3C"/>
    <w:rsid w:val="00D901B4"/>
    <w:rsid w:val="00D916D5"/>
    <w:rsid w:val="00D92D89"/>
    <w:rsid w:val="00D9308A"/>
    <w:rsid w:val="00D931E0"/>
    <w:rsid w:val="00D9561E"/>
    <w:rsid w:val="00DA0227"/>
    <w:rsid w:val="00DA07EB"/>
    <w:rsid w:val="00DA0A20"/>
    <w:rsid w:val="00DA0EAD"/>
    <w:rsid w:val="00DA13DD"/>
    <w:rsid w:val="00DA2542"/>
    <w:rsid w:val="00DA3E38"/>
    <w:rsid w:val="00DA422F"/>
    <w:rsid w:val="00DA47EF"/>
    <w:rsid w:val="00DA7F18"/>
    <w:rsid w:val="00DB0AAC"/>
    <w:rsid w:val="00DB23AC"/>
    <w:rsid w:val="00DB24D1"/>
    <w:rsid w:val="00DB30E4"/>
    <w:rsid w:val="00DB3F01"/>
    <w:rsid w:val="00DC1F41"/>
    <w:rsid w:val="00DC2A7F"/>
    <w:rsid w:val="00DC3C39"/>
    <w:rsid w:val="00DC49E1"/>
    <w:rsid w:val="00DC667A"/>
    <w:rsid w:val="00DC67B8"/>
    <w:rsid w:val="00DC6DA8"/>
    <w:rsid w:val="00DC6EF9"/>
    <w:rsid w:val="00DC781B"/>
    <w:rsid w:val="00DD1775"/>
    <w:rsid w:val="00DD1C9C"/>
    <w:rsid w:val="00DD2B83"/>
    <w:rsid w:val="00DD4032"/>
    <w:rsid w:val="00DD4E65"/>
    <w:rsid w:val="00DD549E"/>
    <w:rsid w:val="00DD616D"/>
    <w:rsid w:val="00DD6CD4"/>
    <w:rsid w:val="00DD76B4"/>
    <w:rsid w:val="00DD7EF8"/>
    <w:rsid w:val="00DD7FB8"/>
    <w:rsid w:val="00DE02F7"/>
    <w:rsid w:val="00DE094A"/>
    <w:rsid w:val="00DE13A9"/>
    <w:rsid w:val="00DE1B46"/>
    <w:rsid w:val="00DE1F92"/>
    <w:rsid w:val="00DE3020"/>
    <w:rsid w:val="00DE3759"/>
    <w:rsid w:val="00DE42E4"/>
    <w:rsid w:val="00DE4430"/>
    <w:rsid w:val="00DE56DE"/>
    <w:rsid w:val="00DE5ADC"/>
    <w:rsid w:val="00DE6BA1"/>
    <w:rsid w:val="00DE793A"/>
    <w:rsid w:val="00DF148B"/>
    <w:rsid w:val="00DF2E8B"/>
    <w:rsid w:val="00DF55CD"/>
    <w:rsid w:val="00E0244A"/>
    <w:rsid w:val="00E028CA"/>
    <w:rsid w:val="00E03E86"/>
    <w:rsid w:val="00E058B7"/>
    <w:rsid w:val="00E07A67"/>
    <w:rsid w:val="00E07BE2"/>
    <w:rsid w:val="00E101ED"/>
    <w:rsid w:val="00E104A1"/>
    <w:rsid w:val="00E10E6A"/>
    <w:rsid w:val="00E13618"/>
    <w:rsid w:val="00E14BD9"/>
    <w:rsid w:val="00E15048"/>
    <w:rsid w:val="00E15240"/>
    <w:rsid w:val="00E16421"/>
    <w:rsid w:val="00E20A59"/>
    <w:rsid w:val="00E21C33"/>
    <w:rsid w:val="00E22050"/>
    <w:rsid w:val="00E22EF8"/>
    <w:rsid w:val="00E24F91"/>
    <w:rsid w:val="00E26A1A"/>
    <w:rsid w:val="00E31CA1"/>
    <w:rsid w:val="00E327A9"/>
    <w:rsid w:val="00E32EAB"/>
    <w:rsid w:val="00E35AD5"/>
    <w:rsid w:val="00E35F9E"/>
    <w:rsid w:val="00E370F0"/>
    <w:rsid w:val="00E371B8"/>
    <w:rsid w:val="00E371F9"/>
    <w:rsid w:val="00E37CF5"/>
    <w:rsid w:val="00E40646"/>
    <w:rsid w:val="00E40E8C"/>
    <w:rsid w:val="00E41862"/>
    <w:rsid w:val="00E41900"/>
    <w:rsid w:val="00E41C4A"/>
    <w:rsid w:val="00E41EB9"/>
    <w:rsid w:val="00E4237E"/>
    <w:rsid w:val="00E426F8"/>
    <w:rsid w:val="00E43605"/>
    <w:rsid w:val="00E439E9"/>
    <w:rsid w:val="00E43B5A"/>
    <w:rsid w:val="00E46B41"/>
    <w:rsid w:val="00E46BDF"/>
    <w:rsid w:val="00E473CA"/>
    <w:rsid w:val="00E4761F"/>
    <w:rsid w:val="00E4797A"/>
    <w:rsid w:val="00E539B1"/>
    <w:rsid w:val="00E54295"/>
    <w:rsid w:val="00E54D5E"/>
    <w:rsid w:val="00E60A29"/>
    <w:rsid w:val="00E61B14"/>
    <w:rsid w:val="00E63036"/>
    <w:rsid w:val="00E64079"/>
    <w:rsid w:val="00E64326"/>
    <w:rsid w:val="00E666FD"/>
    <w:rsid w:val="00E66C89"/>
    <w:rsid w:val="00E67F0C"/>
    <w:rsid w:val="00E67FFB"/>
    <w:rsid w:val="00E72905"/>
    <w:rsid w:val="00E75F6E"/>
    <w:rsid w:val="00E761C1"/>
    <w:rsid w:val="00E7632E"/>
    <w:rsid w:val="00E77409"/>
    <w:rsid w:val="00E778CC"/>
    <w:rsid w:val="00E77DD7"/>
    <w:rsid w:val="00E84511"/>
    <w:rsid w:val="00E84F76"/>
    <w:rsid w:val="00E8733E"/>
    <w:rsid w:val="00E908FA"/>
    <w:rsid w:val="00E91AA6"/>
    <w:rsid w:val="00E9265D"/>
    <w:rsid w:val="00E93ADA"/>
    <w:rsid w:val="00E93D1B"/>
    <w:rsid w:val="00E93E93"/>
    <w:rsid w:val="00E942DC"/>
    <w:rsid w:val="00E96A34"/>
    <w:rsid w:val="00EA046F"/>
    <w:rsid w:val="00EA0949"/>
    <w:rsid w:val="00EA0CE0"/>
    <w:rsid w:val="00EA0D4B"/>
    <w:rsid w:val="00EA1132"/>
    <w:rsid w:val="00EA1574"/>
    <w:rsid w:val="00EA1C66"/>
    <w:rsid w:val="00EA1F43"/>
    <w:rsid w:val="00EA21D6"/>
    <w:rsid w:val="00EA3259"/>
    <w:rsid w:val="00EA3620"/>
    <w:rsid w:val="00EA36B9"/>
    <w:rsid w:val="00EA5666"/>
    <w:rsid w:val="00EA5E90"/>
    <w:rsid w:val="00EA63E4"/>
    <w:rsid w:val="00EA6692"/>
    <w:rsid w:val="00EA7054"/>
    <w:rsid w:val="00EB067A"/>
    <w:rsid w:val="00EB10C9"/>
    <w:rsid w:val="00EB3284"/>
    <w:rsid w:val="00EB329F"/>
    <w:rsid w:val="00EB3843"/>
    <w:rsid w:val="00EB47FC"/>
    <w:rsid w:val="00EB491A"/>
    <w:rsid w:val="00EB5186"/>
    <w:rsid w:val="00EB55BD"/>
    <w:rsid w:val="00EB5A2C"/>
    <w:rsid w:val="00EB634C"/>
    <w:rsid w:val="00EB7233"/>
    <w:rsid w:val="00EB72BF"/>
    <w:rsid w:val="00EC06A2"/>
    <w:rsid w:val="00EC226B"/>
    <w:rsid w:val="00EC343C"/>
    <w:rsid w:val="00EC4567"/>
    <w:rsid w:val="00EC5045"/>
    <w:rsid w:val="00EC51F0"/>
    <w:rsid w:val="00EC58F4"/>
    <w:rsid w:val="00EC6B0F"/>
    <w:rsid w:val="00EC7641"/>
    <w:rsid w:val="00EC79A1"/>
    <w:rsid w:val="00ED0028"/>
    <w:rsid w:val="00ED0867"/>
    <w:rsid w:val="00ED1DE3"/>
    <w:rsid w:val="00ED2899"/>
    <w:rsid w:val="00ED48A5"/>
    <w:rsid w:val="00ED490A"/>
    <w:rsid w:val="00ED582C"/>
    <w:rsid w:val="00ED5DA1"/>
    <w:rsid w:val="00ED61BB"/>
    <w:rsid w:val="00ED7715"/>
    <w:rsid w:val="00EE04E5"/>
    <w:rsid w:val="00EE1774"/>
    <w:rsid w:val="00EE1D1C"/>
    <w:rsid w:val="00EE3069"/>
    <w:rsid w:val="00EE340E"/>
    <w:rsid w:val="00EE3ED9"/>
    <w:rsid w:val="00EE426F"/>
    <w:rsid w:val="00EE46B3"/>
    <w:rsid w:val="00EE5990"/>
    <w:rsid w:val="00EE5FD5"/>
    <w:rsid w:val="00EE7768"/>
    <w:rsid w:val="00EE7E89"/>
    <w:rsid w:val="00EF2297"/>
    <w:rsid w:val="00EF2474"/>
    <w:rsid w:val="00EF465F"/>
    <w:rsid w:val="00EF5157"/>
    <w:rsid w:val="00EF5F66"/>
    <w:rsid w:val="00EF61A9"/>
    <w:rsid w:val="00EF62C9"/>
    <w:rsid w:val="00EF6853"/>
    <w:rsid w:val="00EF6924"/>
    <w:rsid w:val="00EF71F0"/>
    <w:rsid w:val="00F0062C"/>
    <w:rsid w:val="00F02F70"/>
    <w:rsid w:val="00F05337"/>
    <w:rsid w:val="00F05891"/>
    <w:rsid w:val="00F0689B"/>
    <w:rsid w:val="00F06D08"/>
    <w:rsid w:val="00F11257"/>
    <w:rsid w:val="00F11ACD"/>
    <w:rsid w:val="00F11ADE"/>
    <w:rsid w:val="00F12172"/>
    <w:rsid w:val="00F130D4"/>
    <w:rsid w:val="00F1566D"/>
    <w:rsid w:val="00F15A76"/>
    <w:rsid w:val="00F172FB"/>
    <w:rsid w:val="00F20124"/>
    <w:rsid w:val="00F21589"/>
    <w:rsid w:val="00F21823"/>
    <w:rsid w:val="00F22CEF"/>
    <w:rsid w:val="00F23855"/>
    <w:rsid w:val="00F23A66"/>
    <w:rsid w:val="00F24733"/>
    <w:rsid w:val="00F25296"/>
    <w:rsid w:val="00F25BEF"/>
    <w:rsid w:val="00F25E6A"/>
    <w:rsid w:val="00F2602E"/>
    <w:rsid w:val="00F26A53"/>
    <w:rsid w:val="00F304DC"/>
    <w:rsid w:val="00F308F2"/>
    <w:rsid w:val="00F32487"/>
    <w:rsid w:val="00F32B5F"/>
    <w:rsid w:val="00F34275"/>
    <w:rsid w:val="00F35AC6"/>
    <w:rsid w:val="00F36972"/>
    <w:rsid w:val="00F40206"/>
    <w:rsid w:val="00F40939"/>
    <w:rsid w:val="00F417B3"/>
    <w:rsid w:val="00F430B5"/>
    <w:rsid w:val="00F431A1"/>
    <w:rsid w:val="00F44998"/>
    <w:rsid w:val="00F453CB"/>
    <w:rsid w:val="00F461F5"/>
    <w:rsid w:val="00F503DC"/>
    <w:rsid w:val="00F50A46"/>
    <w:rsid w:val="00F50CCE"/>
    <w:rsid w:val="00F51B6E"/>
    <w:rsid w:val="00F51D5A"/>
    <w:rsid w:val="00F522DF"/>
    <w:rsid w:val="00F52680"/>
    <w:rsid w:val="00F5306E"/>
    <w:rsid w:val="00F54220"/>
    <w:rsid w:val="00F55CB3"/>
    <w:rsid w:val="00F560B1"/>
    <w:rsid w:val="00F56230"/>
    <w:rsid w:val="00F56DE5"/>
    <w:rsid w:val="00F60E08"/>
    <w:rsid w:val="00F64B62"/>
    <w:rsid w:val="00F65515"/>
    <w:rsid w:val="00F66124"/>
    <w:rsid w:val="00F668A9"/>
    <w:rsid w:val="00F6764B"/>
    <w:rsid w:val="00F67BCD"/>
    <w:rsid w:val="00F70643"/>
    <w:rsid w:val="00F71B2A"/>
    <w:rsid w:val="00F73DB2"/>
    <w:rsid w:val="00F74124"/>
    <w:rsid w:val="00F74BAF"/>
    <w:rsid w:val="00F7533A"/>
    <w:rsid w:val="00F756B6"/>
    <w:rsid w:val="00F75714"/>
    <w:rsid w:val="00F758A9"/>
    <w:rsid w:val="00F75D0D"/>
    <w:rsid w:val="00F75F29"/>
    <w:rsid w:val="00F7741E"/>
    <w:rsid w:val="00F77676"/>
    <w:rsid w:val="00F803C4"/>
    <w:rsid w:val="00F80BF5"/>
    <w:rsid w:val="00F83635"/>
    <w:rsid w:val="00F839D9"/>
    <w:rsid w:val="00F84C26"/>
    <w:rsid w:val="00F85198"/>
    <w:rsid w:val="00F85A95"/>
    <w:rsid w:val="00F86042"/>
    <w:rsid w:val="00F863BB"/>
    <w:rsid w:val="00F90D4F"/>
    <w:rsid w:val="00F91A61"/>
    <w:rsid w:val="00F9227E"/>
    <w:rsid w:val="00F92B9C"/>
    <w:rsid w:val="00F9305A"/>
    <w:rsid w:val="00F941B4"/>
    <w:rsid w:val="00F949E9"/>
    <w:rsid w:val="00F961BF"/>
    <w:rsid w:val="00F96D6C"/>
    <w:rsid w:val="00F974DB"/>
    <w:rsid w:val="00FA1235"/>
    <w:rsid w:val="00FA2BD8"/>
    <w:rsid w:val="00FA3AFB"/>
    <w:rsid w:val="00FA44AB"/>
    <w:rsid w:val="00FA56EA"/>
    <w:rsid w:val="00FA63B2"/>
    <w:rsid w:val="00FA782B"/>
    <w:rsid w:val="00FB1345"/>
    <w:rsid w:val="00FB147D"/>
    <w:rsid w:val="00FB21D0"/>
    <w:rsid w:val="00FB2ED6"/>
    <w:rsid w:val="00FB32E9"/>
    <w:rsid w:val="00FB3E01"/>
    <w:rsid w:val="00FB3FAF"/>
    <w:rsid w:val="00FB4583"/>
    <w:rsid w:val="00FB53CC"/>
    <w:rsid w:val="00FB5F63"/>
    <w:rsid w:val="00FB7757"/>
    <w:rsid w:val="00FC13B3"/>
    <w:rsid w:val="00FC2696"/>
    <w:rsid w:val="00FC2987"/>
    <w:rsid w:val="00FC2A7A"/>
    <w:rsid w:val="00FC2ACB"/>
    <w:rsid w:val="00FC3AFE"/>
    <w:rsid w:val="00FD2BA2"/>
    <w:rsid w:val="00FD2D50"/>
    <w:rsid w:val="00FD3C1D"/>
    <w:rsid w:val="00FD51E7"/>
    <w:rsid w:val="00FD565C"/>
    <w:rsid w:val="00FD686E"/>
    <w:rsid w:val="00FD6F2B"/>
    <w:rsid w:val="00FD7D88"/>
    <w:rsid w:val="00FE24F7"/>
    <w:rsid w:val="00FE359E"/>
    <w:rsid w:val="00FE3D97"/>
    <w:rsid w:val="00FE4399"/>
    <w:rsid w:val="00FE4AE3"/>
    <w:rsid w:val="00FE5DD7"/>
    <w:rsid w:val="00FE666E"/>
    <w:rsid w:val="00FE7E40"/>
    <w:rsid w:val="00FF106B"/>
    <w:rsid w:val="00FF2387"/>
    <w:rsid w:val="00FF2E06"/>
    <w:rsid w:val="00FF37EB"/>
    <w:rsid w:val="00FF3A9D"/>
    <w:rsid w:val="00FF50F6"/>
    <w:rsid w:val="00FF6912"/>
    <w:rsid w:val="01A46FBF"/>
    <w:rsid w:val="020C0E4D"/>
    <w:rsid w:val="030E1850"/>
    <w:rsid w:val="04315B5A"/>
    <w:rsid w:val="045804D4"/>
    <w:rsid w:val="045D19F8"/>
    <w:rsid w:val="0489698C"/>
    <w:rsid w:val="049A2E24"/>
    <w:rsid w:val="05A243FD"/>
    <w:rsid w:val="05A738EC"/>
    <w:rsid w:val="05FC2A4A"/>
    <w:rsid w:val="065B4A72"/>
    <w:rsid w:val="06A64A7C"/>
    <w:rsid w:val="07010145"/>
    <w:rsid w:val="076B0B99"/>
    <w:rsid w:val="080370EB"/>
    <w:rsid w:val="08454C08"/>
    <w:rsid w:val="08B950F3"/>
    <w:rsid w:val="093B5FE0"/>
    <w:rsid w:val="09A83ACE"/>
    <w:rsid w:val="09AC5336"/>
    <w:rsid w:val="09E877F1"/>
    <w:rsid w:val="0A461904"/>
    <w:rsid w:val="0AFB54CE"/>
    <w:rsid w:val="0B984C01"/>
    <w:rsid w:val="0B9D57F2"/>
    <w:rsid w:val="0BA23CA3"/>
    <w:rsid w:val="0CD76ED6"/>
    <w:rsid w:val="0D245A95"/>
    <w:rsid w:val="0D761667"/>
    <w:rsid w:val="0D8E6D68"/>
    <w:rsid w:val="0DD75448"/>
    <w:rsid w:val="0E80766C"/>
    <w:rsid w:val="0EF12D05"/>
    <w:rsid w:val="103D51E8"/>
    <w:rsid w:val="10577316"/>
    <w:rsid w:val="10CF6B4E"/>
    <w:rsid w:val="114047DE"/>
    <w:rsid w:val="12084754"/>
    <w:rsid w:val="135C676A"/>
    <w:rsid w:val="136A0F35"/>
    <w:rsid w:val="13B73B28"/>
    <w:rsid w:val="13E9326D"/>
    <w:rsid w:val="140B2683"/>
    <w:rsid w:val="167860DA"/>
    <w:rsid w:val="168E11DF"/>
    <w:rsid w:val="16995507"/>
    <w:rsid w:val="171C73AC"/>
    <w:rsid w:val="173D7180"/>
    <w:rsid w:val="17963DB7"/>
    <w:rsid w:val="17AE1737"/>
    <w:rsid w:val="182B2B54"/>
    <w:rsid w:val="18762428"/>
    <w:rsid w:val="189B79CA"/>
    <w:rsid w:val="18A10D5A"/>
    <w:rsid w:val="19B5701E"/>
    <w:rsid w:val="19D33AB2"/>
    <w:rsid w:val="1A975B03"/>
    <w:rsid w:val="1B2A4C40"/>
    <w:rsid w:val="1B5579CE"/>
    <w:rsid w:val="1C0320C9"/>
    <w:rsid w:val="1C056186"/>
    <w:rsid w:val="1C7871C9"/>
    <w:rsid w:val="1DC244B2"/>
    <w:rsid w:val="1DD41A5B"/>
    <w:rsid w:val="1E11756B"/>
    <w:rsid w:val="1EFD2F03"/>
    <w:rsid w:val="1FA3120F"/>
    <w:rsid w:val="1FCE4DA3"/>
    <w:rsid w:val="1FE40122"/>
    <w:rsid w:val="21386433"/>
    <w:rsid w:val="216A3518"/>
    <w:rsid w:val="21B941F4"/>
    <w:rsid w:val="223F14C5"/>
    <w:rsid w:val="232744D9"/>
    <w:rsid w:val="2385438B"/>
    <w:rsid w:val="23FC3722"/>
    <w:rsid w:val="243F796F"/>
    <w:rsid w:val="24966845"/>
    <w:rsid w:val="24AB46EC"/>
    <w:rsid w:val="25916BA8"/>
    <w:rsid w:val="25B336CA"/>
    <w:rsid w:val="25E90C98"/>
    <w:rsid w:val="25EE019A"/>
    <w:rsid w:val="25FA3472"/>
    <w:rsid w:val="261D4252"/>
    <w:rsid w:val="263F5F68"/>
    <w:rsid w:val="26781762"/>
    <w:rsid w:val="267E39FD"/>
    <w:rsid w:val="27F82D96"/>
    <w:rsid w:val="28A9675E"/>
    <w:rsid w:val="2AB508CE"/>
    <w:rsid w:val="2BB04D75"/>
    <w:rsid w:val="2BB64D7E"/>
    <w:rsid w:val="2C4E4E19"/>
    <w:rsid w:val="2C583065"/>
    <w:rsid w:val="2CB25928"/>
    <w:rsid w:val="2E271FDC"/>
    <w:rsid w:val="2E9F47AF"/>
    <w:rsid w:val="2EBE1F6F"/>
    <w:rsid w:val="2EDF545F"/>
    <w:rsid w:val="2F48166C"/>
    <w:rsid w:val="2F7FA495"/>
    <w:rsid w:val="2F8D3F24"/>
    <w:rsid w:val="30205F69"/>
    <w:rsid w:val="306B181F"/>
    <w:rsid w:val="30B4525E"/>
    <w:rsid w:val="30EB48EA"/>
    <w:rsid w:val="31263526"/>
    <w:rsid w:val="31B435F0"/>
    <w:rsid w:val="32BB0452"/>
    <w:rsid w:val="33E06C0E"/>
    <w:rsid w:val="33FD6D15"/>
    <w:rsid w:val="340626DC"/>
    <w:rsid w:val="345812F7"/>
    <w:rsid w:val="35305BF5"/>
    <w:rsid w:val="35C4087A"/>
    <w:rsid w:val="369165FF"/>
    <w:rsid w:val="376D76AE"/>
    <w:rsid w:val="37875731"/>
    <w:rsid w:val="37C4302F"/>
    <w:rsid w:val="3862701A"/>
    <w:rsid w:val="38C619F3"/>
    <w:rsid w:val="39954E54"/>
    <w:rsid w:val="39CD2260"/>
    <w:rsid w:val="39F210D0"/>
    <w:rsid w:val="3A810ECD"/>
    <w:rsid w:val="3B1A2D93"/>
    <w:rsid w:val="3B7B2BD0"/>
    <w:rsid w:val="3BD97DF5"/>
    <w:rsid w:val="3C135D6F"/>
    <w:rsid w:val="3C8A0A18"/>
    <w:rsid w:val="3F752EE1"/>
    <w:rsid w:val="40197BEA"/>
    <w:rsid w:val="402725CC"/>
    <w:rsid w:val="406B7291"/>
    <w:rsid w:val="40B30221"/>
    <w:rsid w:val="40E511C3"/>
    <w:rsid w:val="414111FD"/>
    <w:rsid w:val="41D41D75"/>
    <w:rsid w:val="422216FB"/>
    <w:rsid w:val="435A758B"/>
    <w:rsid w:val="43D7087A"/>
    <w:rsid w:val="43E906C2"/>
    <w:rsid w:val="44221134"/>
    <w:rsid w:val="44BD46C0"/>
    <w:rsid w:val="44E37CD9"/>
    <w:rsid w:val="455764D2"/>
    <w:rsid w:val="458D12E1"/>
    <w:rsid w:val="45CB31E9"/>
    <w:rsid w:val="46D419DC"/>
    <w:rsid w:val="46D62B5D"/>
    <w:rsid w:val="47622D39"/>
    <w:rsid w:val="47AA74CA"/>
    <w:rsid w:val="48357692"/>
    <w:rsid w:val="4A170E54"/>
    <w:rsid w:val="4A5909C6"/>
    <w:rsid w:val="4B242711"/>
    <w:rsid w:val="4B2618F8"/>
    <w:rsid w:val="4B831E97"/>
    <w:rsid w:val="4B847996"/>
    <w:rsid w:val="4BBD6CB2"/>
    <w:rsid w:val="4BD038AB"/>
    <w:rsid w:val="4BE35319"/>
    <w:rsid w:val="4C3A6E1C"/>
    <w:rsid w:val="4C43515F"/>
    <w:rsid w:val="4CB4465C"/>
    <w:rsid w:val="4D176534"/>
    <w:rsid w:val="4D2C1ACE"/>
    <w:rsid w:val="4D7C0E15"/>
    <w:rsid w:val="4DC25655"/>
    <w:rsid w:val="4EB204DE"/>
    <w:rsid w:val="4EF813D9"/>
    <w:rsid w:val="4EFD04A5"/>
    <w:rsid w:val="4F943420"/>
    <w:rsid w:val="4F9A1A25"/>
    <w:rsid w:val="4FBC140E"/>
    <w:rsid w:val="503A68C3"/>
    <w:rsid w:val="507E6451"/>
    <w:rsid w:val="50932D50"/>
    <w:rsid w:val="50F2295F"/>
    <w:rsid w:val="510E7D36"/>
    <w:rsid w:val="51BB3717"/>
    <w:rsid w:val="52035948"/>
    <w:rsid w:val="524E11C8"/>
    <w:rsid w:val="52734056"/>
    <w:rsid w:val="52771D67"/>
    <w:rsid w:val="527B46D8"/>
    <w:rsid w:val="528C13E3"/>
    <w:rsid w:val="52BE3E9C"/>
    <w:rsid w:val="53AF1E5C"/>
    <w:rsid w:val="540137ED"/>
    <w:rsid w:val="54FE7B13"/>
    <w:rsid w:val="550808CC"/>
    <w:rsid w:val="55404646"/>
    <w:rsid w:val="554F071B"/>
    <w:rsid w:val="55784EE9"/>
    <w:rsid w:val="56A56FD4"/>
    <w:rsid w:val="56C107AC"/>
    <w:rsid w:val="56FF518B"/>
    <w:rsid w:val="5757F0B5"/>
    <w:rsid w:val="588A2C4E"/>
    <w:rsid w:val="58C909D5"/>
    <w:rsid w:val="593B4F41"/>
    <w:rsid w:val="596872F4"/>
    <w:rsid w:val="5A475AE5"/>
    <w:rsid w:val="5B605F84"/>
    <w:rsid w:val="5B882010"/>
    <w:rsid w:val="5BDFF4A4"/>
    <w:rsid w:val="5CE67C63"/>
    <w:rsid w:val="5D0B3743"/>
    <w:rsid w:val="5D9B1400"/>
    <w:rsid w:val="5FF32234"/>
    <w:rsid w:val="60031AB1"/>
    <w:rsid w:val="6088136D"/>
    <w:rsid w:val="608C516E"/>
    <w:rsid w:val="61BC0DE2"/>
    <w:rsid w:val="61E56273"/>
    <w:rsid w:val="620877C5"/>
    <w:rsid w:val="62626DD9"/>
    <w:rsid w:val="626F60CF"/>
    <w:rsid w:val="632578F4"/>
    <w:rsid w:val="632D4AA7"/>
    <w:rsid w:val="65351471"/>
    <w:rsid w:val="65950E25"/>
    <w:rsid w:val="65987CB4"/>
    <w:rsid w:val="65CA2871"/>
    <w:rsid w:val="663D6CC9"/>
    <w:rsid w:val="667272A6"/>
    <w:rsid w:val="66F26AFA"/>
    <w:rsid w:val="67785818"/>
    <w:rsid w:val="681C44BB"/>
    <w:rsid w:val="6855381D"/>
    <w:rsid w:val="68607D79"/>
    <w:rsid w:val="686B17DB"/>
    <w:rsid w:val="68AB5990"/>
    <w:rsid w:val="69972D26"/>
    <w:rsid w:val="69AC1C70"/>
    <w:rsid w:val="6A02218B"/>
    <w:rsid w:val="6B0C7F83"/>
    <w:rsid w:val="6B4139EC"/>
    <w:rsid w:val="6B755548"/>
    <w:rsid w:val="6B813449"/>
    <w:rsid w:val="6BA17937"/>
    <w:rsid w:val="6BFF67D4"/>
    <w:rsid w:val="6D435277"/>
    <w:rsid w:val="6E1111E5"/>
    <w:rsid w:val="6F0B1B73"/>
    <w:rsid w:val="6F5706B7"/>
    <w:rsid w:val="6FA50B35"/>
    <w:rsid w:val="6FD96461"/>
    <w:rsid w:val="703826DB"/>
    <w:rsid w:val="70CD3347"/>
    <w:rsid w:val="70D0388B"/>
    <w:rsid w:val="72757837"/>
    <w:rsid w:val="73393158"/>
    <w:rsid w:val="73985D62"/>
    <w:rsid w:val="7462582A"/>
    <w:rsid w:val="74813437"/>
    <w:rsid w:val="74B925A0"/>
    <w:rsid w:val="74E02118"/>
    <w:rsid w:val="74F54DDB"/>
    <w:rsid w:val="75DE623A"/>
    <w:rsid w:val="763F5BEF"/>
    <w:rsid w:val="77D507B8"/>
    <w:rsid w:val="7846393C"/>
    <w:rsid w:val="78706535"/>
    <w:rsid w:val="79BB3C99"/>
    <w:rsid w:val="7A262169"/>
    <w:rsid w:val="7A6B60EB"/>
    <w:rsid w:val="7A880A2E"/>
    <w:rsid w:val="7AB8467F"/>
    <w:rsid w:val="7B2044B1"/>
    <w:rsid w:val="7B234081"/>
    <w:rsid w:val="7B591F5B"/>
    <w:rsid w:val="7B5E24F4"/>
    <w:rsid w:val="7B8F4C6B"/>
    <w:rsid w:val="7BE84C68"/>
    <w:rsid w:val="7C3B3F38"/>
    <w:rsid w:val="7CAE70F3"/>
    <w:rsid w:val="7CB23926"/>
    <w:rsid w:val="7D370EB8"/>
    <w:rsid w:val="7D7469E9"/>
    <w:rsid w:val="7E611E2F"/>
    <w:rsid w:val="7EB094EB"/>
    <w:rsid w:val="7EF10898"/>
    <w:rsid w:val="7FAF2ADC"/>
    <w:rsid w:val="7FEB7FCD"/>
    <w:rsid w:val="AFC9449C"/>
    <w:rsid w:val="BEF8CDEE"/>
    <w:rsid w:val="BFEB4C94"/>
    <w:rsid w:val="D7123C53"/>
    <w:rsid w:val="DFFF50A3"/>
    <w:rsid w:val="F7798EEC"/>
    <w:rsid w:val="FB7ADDC4"/>
    <w:rsid w:val="FFF923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3">
    <w:name w:val="heading 1"/>
    <w:basedOn w:val="1"/>
    <w:next w:val="1"/>
    <w:link w:val="28"/>
    <w:qFormat/>
    <w:uiPriority w:val="0"/>
    <w:pPr>
      <w:keepNext/>
      <w:keepLines/>
      <w:spacing w:before="340" w:beforeLines="0" w:after="330" w:afterLines="0" w:line="576" w:lineRule="auto"/>
      <w:outlineLvl w:val="0"/>
    </w:pPr>
    <w:rPr>
      <w:b/>
      <w:bCs/>
      <w:kern w:val="44"/>
      <w:sz w:val="44"/>
      <w:szCs w:val="44"/>
    </w:rPr>
  </w:style>
  <w:style w:type="paragraph" w:styleId="4">
    <w:name w:val="heading 2"/>
    <w:basedOn w:val="5"/>
    <w:next w:val="1"/>
    <w:link w:val="29"/>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30"/>
    <w:qFormat/>
    <w:uiPriority w:val="0"/>
    <w:pPr>
      <w:keepNext/>
      <w:keepLines/>
      <w:tabs>
        <w:tab w:val="left" w:pos="425"/>
        <w:tab w:val="left" w:pos="720"/>
      </w:tabs>
      <w:spacing w:before="260" w:after="260" w:line="415" w:lineRule="auto"/>
      <w:ind w:left="709" w:hanging="709"/>
      <w:outlineLvl w:val="2"/>
    </w:pPr>
    <w:rPr>
      <w:b/>
      <w:bCs/>
      <w:sz w:val="32"/>
      <w:szCs w:val="32"/>
    </w:rPr>
  </w:style>
  <w:style w:type="paragraph" w:styleId="7">
    <w:name w:val="heading 4"/>
    <w:basedOn w:val="1"/>
    <w:next w:val="1"/>
    <w:link w:val="31"/>
    <w:qFormat/>
    <w:uiPriority w:val="9"/>
    <w:pPr>
      <w:keepNext/>
      <w:keepLines/>
      <w:spacing w:before="280" w:after="290" w:line="376" w:lineRule="auto"/>
      <w:outlineLvl w:val="3"/>
    </w:pPr>
    <w:rPr>
      <w:rFonts w:ascii="Cambria" w:hAnsi="Cambria"/>
      <w:b/>
      <w:bCs/>
      <w:sz w:val="28"/>
      <w:szCs w:val="28"/>
    </w:rPr>
  </w:style>
  <w:style w:type="character" w:default="1" w:styleId="23">
    <w:name w:val="Default Paragraph Font"/>
    <w:uiPriority w:val="0"/>
  </w:style>
  <w:style w:type="table" w:default="1" w:styleId="22">
    <w:name w:val="Normal Table"/>
    <w:semiHidden/>
    <w:uiPriority w:val="0"/>
    <w:tblPr>
      <w:tblStyle w:val="22"/>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5">
    <w:name w:val="一级条标题"/>
    <w:next w:val="1"/>
    <w:uiPriority w:val="0"/>
    <w:pPr>
      <w:outlineLvl w:val="2"/>
    </w:pPr>
    <w:rPr>
      <w:rFonts w:eastAsia="黑体"/>
      <w:sz w:val="21"/>
      <w:lang w:val="en-US" w:eastAsia="zh-CN" w:bidi="ar-SA"/>
    </w:rPr>
  </w:style>
  <w:style w:type="paragraph" w:styleId="8">
    <w:name w:val="Document Map"/>
    <w:basedOn w:val="1"/>
    <w:semiHidden/>
    <w:uiPriority w:val="0"/>
    <w:pPr>
      <w:shd w:val="clear" w:color="auto" w:fill="000080"/>
    </w:pPr>
  </w:style>
  <w:style w:type="paragraph" w:styleId="9">
    <w:name w:val="annotation text"/>
    <w:basedOn w:val="1"/>
    <w:link w:val="32"/>
    <w:uiPriority w:val="0"/>
    <w:pPr>
      <w:jc w:val="left"/>
    </w:pPr>
    <w:rPr>
      <w:szCs w:val="24"/>
    </w:rPr>
  </w:style>
  <w:style w:type="paragraph" w:styleId="10">
    <w:name w:val="Body Text Indent"/>
    <w:basedOn w:val="1"/>
    <w:next w:val="1"/>
    <w:qFormat/>
    <w:uiPriority w:val="0"/>
    <w:pPr>
      <w:spacing w:line="288" w:lineRule="auto"/>
      <w:ind w:firstLine="540" w:firstLineChars="200"/>
    </w:pPr>
    <w:rPr>
      <w:rFonts w:ascii="宋体"/>
      <w:kern w:val="0"/>
      <w:sz w:val="27"/>
      <w:szCs w:val="27"/>
      <w:lang w:val="zh-CN"/>
    </w:rPr>
  </w:style>
  <w:style w:type="paragraph" w:styleId="11">
    <w:name w:val="toc 3"/>
    <w:basedOn w:val="1"/>
    <w:next w:val="1"/>
    <w:uiPriority w:val="0"/>
    <w:pPr>
      <w:overflowPunct w:val="0"/>
      <w:autoSpaceDE w:val="0"/>
      <w:autoSpaceDN w:val="0"/>
      <w:spacing w:line="360" w:lineRule="auto"/>
      <w:ind w:left="482" w:firstLine="425"/>
      <w:jc w:val="left"/>
    </w:pPr>
    <w:rPr>
      <w:rFonts w:eastAsia="楷体_GB2312"/>
      <w:i/>
      <w:sz w:val="20"/>
    </w:rPr>
  </w:style>
  <w:style w:type="paragraph" w:styleId="12">
    <w:name w:val="Plain Text"/>
    <w:basedOn w:val="1"/>
    <w:uiPriority w:val="0"/>
    <w:rPr>
      <w:rFonts w:ascii="宋体" w:hAnsi="Courier New" w:cs="Courier New"/>
      <w:szCs w:val="21"/>
    </w:rPr>
  </w:style>
  <w:style w:type="paragraph" w:styleId="13">
    <w:name w:val="Date"/>
    <w:basedOn w:val="1"/>
    <w:next w:val="1"/>
    <w:uiPriority w:val="0"/>
    <w:pPr>
      <w:ind w:left="100" w:leftChars="2500"/>
    </w:pPr>
  </w:style>
  <w:style w:type="paragraph" w:styleId="14">
    <w:name w:val="Balloon Text"/>
    <w:basedOn w:val="1"/>
    <w:link w:val="33"/>
    <w:uiPriority w:val="0"/>
    <w:rPr>
      <w:sz w:val="18"/>
      <w:szCs w:val="18"/>
    </w:rPr>
  </w:style>
  <w:style w:type="paragraph" w:styleId="15">
    <w:name w:val="footer"/>
    <w:basedOn w:val="1"/>
    <w:link w:val="34"/>
    <w:uiPriority w:val="99"/>
    <w:pPr>
      <w:tabs>
        <w:tab w:val="center" w:pos="4153"/>
        <w:tab w:val="right" w:pos="8306"/>
      </w:tabs>
      <w:snapToGrid w:val="0"/>
      <w:jc w:val="left"/>
    </w:pPr>
    <w:rPr>
      <w:sz w:val="18"/>
    </w:rPr>
  </w:style>
  <w:style w:type="paragraph" w:styleId="16">
    <w:name w:val="header"/>
    <w:basedOn w:val="1"/>
    <w:link w:val="35"/>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iPriority w:val="39"/>
    <w:pPr>
      <w:overflowPunct w:val="0"/>
      <w:autoSpaceDE w:val="0"/>
      <w:autoSpaceDN w:val="0"/>
      <w:spacing w:before="120" w:beforeLines="0" w:after="120" w:afterLines="0" w:line="360" w:lineRule="auto"/>
      <w:ind w:firstLine="425"/>
      <w:jc w:val="left"/>
    </w:pPr>
    <w:rPr>
      <w:rFonts w:eastAsia="楷体_GB2312"/>
      <w:b/>
      <w:caps/>
      <w:sz w:val="28"/>
      <w:szCs w:val="32"/>
    </w:rPr>
  </w:style>
  <w:style w:type="paragraph" w:styleId="18">
    <w:name w:val="toc 2"/>
    <w:basedOn w:val="1"/>
    <w:next w:val="1"/>
    <w:uiPriority w:val="39"/>
    <w:pPr>
      <w:tabs>
        <w:tab w:val="left" w:pos="1440"/>
        <w:tab w:val="right" w:leader="dot" w:pos="8303"/>
      </w:tabs>
      <w:overflowPunct w:val="0"/>
      <w:autoSpaceDE w:val="0"/>
      <w:autoSpaceDN w:val="0"/>
      <w:spacing w:line="360" w:lineRule="auto"/>
      <w:ind w:left="238" w:firstLine="425"/>
      <w:jc w:val="left"/>
    </w:pPr>
    <w:rPr>
      <w:rFonts w:eastAsia="楷体_GB2312"/>
      <w:i/>
      <w:smallCaps/>
      <w:sz w:val="28"/>
      <w:szCs w:val="30"/>
    </w:rPr>
  </w:style>
  <w:style w:type="paragraph" w:styleId="19">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20">
    <w:name w:val="annotation subject"/>
    <w:basedOn w:val="9"/>
    <w:next w:val="9"/>
    <w:semiHidden/>
    <w:uiPriority w:val="0"/>
    <w:rPr>
      <w:b/>
      <w:bCs/>
      <w:szCs w:val="20"/>
    </w:rPr>
  </w:style>
  <w:style w:type="paragraph" w:styleId="21">
    <w:name w:val="Body Text First Indent 2"/>
    <w:basedOn w:val="10"/>
    <w:qFormat/>
    <w:uiPriority w:val="0"/>
    <w:pPr>
      <w:spacing w:after="120"/>
      <w:ind w:left="420" w:leftChars="200" w:firstLine="420"/>
    </w:pPr>
    <w:rPr>
      <w:rFonts w:ascii="Times New Roman" w:hAnsi="仿宋_GB2312" w:eastAsia="黑体"/>
      <w:sz w:val="24"/>
    </w:rPr>
  </w:style>
  <w:style w:type="character" w:styleId="24">
    <w:name w:val="Strong"/>
    <w:qFormat/>
    <w:uiPriority w:val="0"/>
    <w:rPr>
      <w:b/>
      <w:bCs/>
    </w:rPr>
  </w:style>
  <w:style w:type="character" w:styleId="25">
    <w:name w:val="page number"/>
    <w:uiPriority w:val="0"/>
  </w:style>
  <w:style w:type="character" w:styleId="26">
    <w:name w:val="Hyperlink"/>
    <w:uiPriority w:val="99"/>
    <w:rPr>
      <w:color w:val="0000FF"/>
      <w:u w:val="single"/>
    </w:rPr>
  </w:style>
  <w:style w:type="character" w:styleId="27">
    <w:name w:val="annotation reference"/>
    <w:semiHidden/>
    <w:uiPriority w:val="0"/>
    <w:rPr>
      <w:sz w:val="21"/>
      <w:szCs w:val="21"/>
    </w:rPr>
  </w:style>
  <w:style w:type="character" w:customStyle="1" w:styleId="28">
    <w:name w:val="标题 1 字符"/>
    <w:link w:val="3"/>
    <w:uiPriority w:val="0"/>
    <w:rPr>
      <w:b/>
      <w:bCs/>
      <w:kern w:val="44"/>
      <w:sz w:val="44"/>
      <w:szCs w:val="44"/>
    </w:rPr>
  </w:style>
  <w:style w:type="character" w:customStyle="1" w:styleId="29">
    <w:name w:val="标题 2 字符"/>
    <w:link w:val="4"/>
    <w:uiPriority w:val="0"/>
    <w:rPr>
      <w:rFonts w:ascii="Arial" w:hAnsi="Arial" w:eastAsia="黑体"/>
      <w:b/>
      <w:bCs/>
      <w:sz w:val="32"/>
      <w:szCs w:val="32"/>
    </w:rPr>
  </w:style>
  <w:style w:type="character" w:customStyle="1" w:styleId="30">
    <w:name w:val="标题 3 字符"/>
    <w:link w:val="6"/>
    <w:uiPriority w:val="0"/>
    <w:rPr>
      <w:rFonts w:eastAsia="宋体"/>
      <w:b/>
      <w:bCs/>
      <w:kern w:val="2"/>
      <w:sz w:val="32"/>
      <w:szCs w:val="32"/>
      <w:lang w:val="en-US" w:eastAsia="zh-CN" w:bidi="ar-SA"/>
    </w:rPr>
  </w:style>
  <w:style w:type="character" w:customStyle="1" w:styleId="31">
    <w:name w:val="标题 4 字符"/>
    <w:link w:val="7"/>
    <w:uiPriority w:val="9"/>
    <w:rPr>
      <w:rFonts w:ascii="Cambria" w:hAnsi="Cambria"/>
      <w:b/>
      <w:bCs/>
      <w:kern w:val="2"/>
      <w:sz w:val="28"/>
      <w:szCs w:val="28"/>
    </w:rPr>
  </w:style>
  <w:style w:type="character" w:customStyle="1" w:styleId="32">
    <w:name w:val="批注文字 字符"/>
    <w:link w:val="9"/>
    <w:uiPriority w:val="0"/>
    <w:rPr>
      <w:kern w:val="2"/>
      <w:sz w:val="21"/>
      <w:szCs w:val="24"/>
    </w:rPr>
  </w:style>
  <w:style w:type="character" w:customStyle="1" w:styleId="33">
    <w:name w:val="批注框文本 字符"/>
    <w:link w:val="14"/>
    <w:uiPriority w:val="0"/>
    <w:rPr>
      <w:kern w:val="2"/>
      <w:sz w:val="18"/>
      <w:szCs w:val="18"/>
    </w:rPr>
  </w:style>
  <w:style w:type="character" w:customStyle="1" w:styleId="34">
    <w:name w:val="页脚 字符"/>
    <w:link w:val="15"/>
    <w:uiPriority w:val="99"/>
    <w:rPr>
      <w:kern w:val="2"/>
      <w:sz w:val="18"/>
    </w:rPr>
  </w:style>
  <w:style w:type="character" w:customStyle="1" w:styleId="35">
    <w:name w:val="页眉 字符"/>
    <w:link w:val="16"/>
    <w:uiPriority w:val="0"/>
    <w:rPr>
      <w:kern w:val="2"/>
      <w:sz w:val="18"/>
      <w:szCs w:val="18"/>
    </w:rPr>
  </w:style>
  <w:style w:type="character" w:customStyle="1" w:styleId="36">
    <w:name w:val="page number"/>
    <w:uiPriority w:val="0"/>
  </w:style>
  <w:style w:type="character" w:customStyle="1" w:styleId="37">
    <w:name w:val="annotation reference"/>
    <w:uiPriority w:val="0"/>
    <w:rPr>
      <w:sz w:val="21"/>
      <w:szCs w:val="21"/>
    </w:rPr>
  </w:style>
  <w:style w:type="character" w:customStyle="1" w:styleId="38">
    <w:name w:val="正文文本缩进 Char"/>
    <w:link w:val="39"/>
    <w:uiPriority w:val="0"/>
    <w:rPr>
      <w:rFonts w:eastAsia="楷体_GB2312"/>
      <w:kern w:val="2"/>
      <w:sz w:val="32"/>
    </w:rPr>
  </w:style>
  <w:style w:type="paragraph" w:customStyle="1" w:styleId="39">
    <w:name w:val="Body Text Indent"/>
    <w:basedOn w:val="1"/>
    <w:link w:val="38"/>
    <w:uiPriority w:val="0"/>
    <w:pPr>
      <w:spacing w:before="120" w:beforeLines="0" w:line="360" w:lineRule="auto"/>
      <w:ind w:firstLine="425"/>
    </w:pPr>
    <w:rPr>
      <w:rFonts w:eastAsia="楷体_GB2312"/>
      <w:sz w:val="32"/>
    </w:rPr>
  </w:style>
  <w:style w:type="character" w:customStyle="1" w:styleId="40">
    <w:name w:val="批注主题 Char"/>
    <w:link w:val="41"/>
    <w:uiPriority w:val="0"/>
    <w:rPr>
      <w:b/>
      <w:bCs/>
      <w:kern w:val="2"/>
      <w:sz w:val="21"/>
      <w:szCs w:val="24"/>
    </w:rPr>
  </w:style>
  <w:style w:type="paragraph" w:customStyle="1" w:styleId="41">
    <w:name w:val="annotation subject"/>
    <w:basedOn w:val="9"/>
    <w:next w:val="9"/>
    <w:link w:val="40"/>
    <w:uiPriority w:val="0"/>
    <w:rPr>
      <w:b/>
      <w:bCs/>
    </w:rPr>
  </w:style>
  <w:style w:type="character" w:customStyle="1" w:styleId="42">
    <w:name w:val="日期 Char"/>
    <w:link w:val="43"/>
    <w:uiPriority w:val="0"/>
    <w:rPr>
      <w:kern w:val="2"/>
      <w:sz w:val="21"/>
    </w:rPr>
  </w:style>
  <w:style w:type="paragraph" w:customStyle="1" w:styleId="43">
    <w:name w:val="Date"/>
    <w:basedOn w:val="1"/>
    <w:next w:val="1"/>
    <w:link w:val="42"/>
    <w:uiPriority w:val="0"/>
    <w:pPr>
      <w:ind w:left="100" w:leftChars="2500"/>
    </w:pPr>
  </w:style>
  <w:style w:type="paragraph" w:customStyle="1" w:styleId="44">
    <w:name w:val="Normal Indent"/>
    <w:basedOn w:val="1"/>
    <w:uiPriority w:val="0"/>
    <w:pPr>
      <w:ind w:firstLine="420" w:firstLineChars="200"/>
    </w:pPr>
    <w:rPr>
      <w:szCs w:val="24"/>
    </w:rPr>
  </w:style>
  <w:style w:type="paragraph" w:customStyle="1" w:styleId="45">
    <w:name w:val="样式1"/>
    <w:basedOn w:val="1"/>
    <w:uiPriority w:val="0"/>
    <w:pPr>
      <w:tabs>
        <w:tab w:val="left" w:pos="1980"/>
        <w:tab w:val="left" w:pos="6840"/>
      </w:tabs>
      <w:adjustRightInd w:val="0"/>
      <w:spacing w:before="320" w:after="160" w:line="490" w:lineRule="exact"/>
      <w:textAlignment w:val="center"/>
    </w:pPr>
    <w:rPr>
      <w:rFonts w:ascii="宋体" w:eastAsia="黑体"/>
      <w:kern w:val="0"/>
      <w:sz w:val="28"/>
    </w:rPr>
  </w:style>
  <w:style w:type="paragraph" w:customStyle="1" w:styleId="46">
    <w:name w:val=" Char Char4 Char Char"/>
    <w:basedOn w:val="1"/>
    <w:semiHidden/>
    <w:uiPriority w:val="0"/>
    <w:rPr>
      <w:szCs w:val="24"/>
    </w:rPr>
  </w:style>
  <w:style w:type="paragraph" w:customStyle="1" w:styleId="47">
    <w:name w:val="WPSOffice手动目录 2"/>
    <w:uiPriority w:val="0"/>
    <w:pPr>
      <w:ind w:leftChars="200"/>
    </w:pPr>
    <w:rPr>
      <w:lang w:val="en-US" w:eastAsia="zh-CN" w:bidi="ar-SA"/>
    </w:rPr>
  </w:style>
  <w:style w:type="paragraph" w:customStyle="1" w:styleId="48">
    <w:name w:val="WPSOffice手动目录 1"/>
    <w:uiPriority w:val="0"/>
    <w:rPr>
      <w:lang w:val="en-US" w:eastAsia="zh-CN" w:bidi="ar-SA"/>
    </w:rPr>
  </w:style>
  <w:style w:type="paragraph" w:customStyle="1" w:styleId="49">
    <w:name w:val="Document Map"/>
    <w:basedOn w:val="1"/>
    <w:uiPriority w:val="0"/>
    <w:pPr>
      <w:shd w:val="clear" w:color="auto" w:fill="000080"/>
    </w:pPr>
  </w:style>
  <w:style w:type="paragraph" w:customStyle="1" w:styleId="50">
    <w:name w:val="_Style 2"/>
    <w:basedOn w:val="3"/>
    <w:next w:val="1"/>
    <w:unhideWhenUsed/>
    <w:qFormat/>
    <w:uiPriority w:val="39"/>
    <w:pPr>
      <w:widowControl/>
      <w:spacing w:before="240" w:line="259" w:lineRule="auto"/>
      <w:jc w:val="left"/>
      <w:outlineLvl w:val="9"/>
    </w:pPr>
    <w:rPr>
      <w:rFonts w:ascii="等线 Light" w:hAnsi="等线 Light" w:eastAsia="等线 Light" w:cs="Times New Roman"/>
      <w:b w:val="0"/>
      <w:color w:val="2E74B5"/>
      <w:kern w:val="0"/>
      <w:sz w:val="32"/>
      <w:szCs w:val="32"/>
    </w:rPr>
  </w:style>
  <w:style w:type="paragraph" w:customStyle="1" w:styleId="51">
    <w:name w:val="reader-word-layer reader-word-s3-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2">
    <w:name w:val="Revision"/>
    <w:uiPriority w:val="0"/>
    <w:rPr>
      <w:kern w:val="2"/>
      <w:sz w:val="21"/>
      <w:lang w:val="en-US" w:eastAsia="zh-CN" w:bidi="ar-SA"/>
    </w:rPr>
  </w:style>
  <w:style w:type="paragraph" w:customStyle="1" w:styleId="53">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styleId="54">
    <w:name w:val="List Paragraph"/>
    <w:basedOn w:val="1"/>
    <w:qFormat/>
    <w:uiPriority w:val="34"/>
    <w:pPr>
      <w:ind w:firstLine="420" w:firstLineChars="200"/>
    </w:pPr>
    <w:rPr>
      <w:rFonts w:ascii="Calibri" w:hAnsi="Calibri"/>
      <w:szCs w:val="22"/>
    </w:rPr>
  </w:style>
  <w:style w:type="paragraph" w:customStyle="1" w:styleId="55">
    <w:name w:val="样式2"/>
    <w:basedOn w:val="1"/>
    <w:uiPriority w:val="0"/>
    <w:pPr>
      <w:tabs>
        <w:tab w:val="left" w:pos="360"/>
      </w:tabs>
      <w:adjustRightInd w:val="0"/>
      <w:spacing w:line="360" w:lineRule="atLeast"/>
      <w:textAlignment w:val="bottom"/>
    </w:pPr>
    <w:rPr>
      <w:rFonts w:ascii="Arial" w:hAnsi="Arial"/>
      <w:b/>
      <w:kern w:val="0"/>
      <w:sz w:val="28"/>
    </w:rPr>
  </w:style>
  <w:style w:type="paragraph" w:styleId="56">
    <w:name w:val=""/>
    <w:unhideWhenUsed/>
    <w:uiPriority w:val="99"/>
    <w:rPr>
      <w:kern w:val="2"/>
      <w:sz w:val="21"/>
      <w:lang w:val="en-US" w:eastAsia="zh-CN" w:bidi="ar-SA"/>
    </w:rPr>
  </w:style>
  <w:style w:type="paragraph" w:customStyle="1" w:styleId="57">
    <w:name w:val=" Char"/>
    <w:basedOn w:val="1"/>
    <w:uiPriority w:val="0"/>
    <w:rPr>
      <w:szCs w:val="24"/>
    </w:rPr>
  </w:style>
  <w:style w:type="paragraph" w:customStyle="1" w:styleId="58">
    <w:name w:val="Char Char Char Char Char Char Char Char Char Char Char Char Char Char Char Char Char Char Char Char Char Char"/>
    <w:basedOn w:val="1"/>
    <w:uiPriority w:val="0"/>
    <w:pPr>
      <w:widowControl/>
      <w:spacing w:after="160" w:line="240" w:lineRule="exact"/>
      <w:jc w:val="left"/>
    </w:pPr>
    <w:rPr>
      <w:rFonts w:ascii="Verdana" w:hAnsi="Verdana"/>
      <w:kern w:val="0"/>
      <w:sz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2181</Words>
  <Characters>12437</Characters>
  <Lines>103</Lines>
  <Paragraphs>29</Paragraphs>
  <TotalTime>14.6666666666667</TotalTime>
  <ScaleCrop>false</ScaleCrop>
  <LinksUpToDate>false</LinksUpToDate>
  <CharactersWithSpaces>14589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2013-07-12T14:22:00Z</dcterms:created>
  <dc:creator>QIXU</dc:creator>
  <cp:lastModifiedBy>易易易易易易拉罐</cp:lastModifiedBy>
  <cp:lastPrinted>2020-12-04T08:36:00Z</cp:lastPrinted>
  <dcterms:modified xsi:type="dcterms:W3CDTF">2021-10-28T08:39:48Z</dcterms:modified>
  <dc:title>远景西电东送目标格局规划研究工作大纲</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5D5BC47EE7E74CE0B33EF2CDAF5E4715</vt:lpwstr>
  </property>
</Properties>
</file>